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99AC" w14:textId="77777777" w:rsidR="009F1B16" w:rsidRPr="002A206C" w:rsidRDefault="009F1B16" w:rsidP="009F1B1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A206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7B00115B" w14:textId="77777777" w:rsidR="009F1B16" w:rsidRPr="002A206C" w:rsidRDefault="009F1B16" w:rsidP="009F1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172706"/>
      <w:r w:rsidRPr="002A206C">
        <w:rPr>
          <w:rFonts w:ascii="Times New Roman" w:hAnsi="Times New Roman" w:cs="Times New Roman"/>
          <w:sz w:val="28"/>
          <w:szCs w:val="28"/>
        </w:rPr>
        <w:t>«</w:t>
      </w:r>
      <w:r w:rsidRPr="002A206C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Няндомского муниципального округа»</w:t>
      </w:r>
    </w:p>
    <w:bookmarkEnd w:id="0"/>
    <w:p w14:paraId="1E3C533A" w14:textId="77777777" w:rsidR="006E0AE6" w:rsidRPr="002A206C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14:paraId="438A6023" w14:textId="36D1A332" w:rsidR="009F1B16" w:rsidRPr="002A206C" w:rsidRDefault="009F1B16" w:rsidP="009F1B16">
      <w:pPr>
        <w:autoSpaceDE w:val="0"/>
        <w:autoSpaceDN w:val="0"/>
        <w:adjustRightInd w:val="0"/>
        <w:ind w:firstLine="7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206C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 октября 2003 года  № 131-ФЗ «Об общих принципах организации местного самоуправления в Российской Федерации»,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округа  Архангельской области от 9 января 2023 года № 1-па,  пунктом 3.2. статьи 6 Устава Няндомского муниципального округа Архангельской области</w:t>
      </w:r>
      <w:r w:rsidRPr="002A2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206C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области, </w:t>
      </w:r>
      <w:r w:rsidRPr="002A206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2A206C">
        <w:rPr>
          <w:rFonts w:ascii="Times New Roman" w:hAnsi="Times New Roman" w:cs="Times New Roman"/>
          <w:sz w:val="28"/>
          <w:szCs w:val="28"/>
        </w:rPr>
        <w:t>:</w:t>
      </w:r>
    </w:p>
    <w:p w14:paraId="2E96FDA6" w14:textId="77777777" w:rsidR="009F1B16" w:rsidRPr="002A206C" w:rsidRDefault="009F1B16" w:rsidP="00527EAE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2A206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Pr="002A206C">
        <w:rPr>
          <w:rFonts w:ascii="Times New Roman" w:hAnsi="Times New Roman" w:cs="Times New Roman"/>
          <w:sz w:val="28"/>
          <w:szCs w:val="28"/>
        </w:rPr>
        <w:t>муниципальную программу «Обеспечение безопасности населения Няндомского муниципального округа»</w:t>
      </w:r>
      <w:r w:rsidRPr="002A2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8DA876" w14:textId="44339E15" w:rsidR="009F1B16" w:rsidRPr="002A206C" w:rsidRDefault="009F1B16" w:rsidP="00527EAE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2A206C">
        <w:rPr>
          <w:rFonts w:ascii="Times New Roman" w:hAnsi="Times New Roman" w:cs="Times New Roman"/>
          <w:color w:val="000000"/>
          <w:sz w:val="28"/>
          <w:szCs w:val="28"/>
        </w:rPr>
        <w:t>Опубликовать в периодическом печатном издании</w:t>
      </w:r>
      <w:r w:rsidR="00140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06C">
        <w:rPr>
          <w:rFonts w:ascii="Times New Roman" w:hAnsi="Times New Roman" w:cs="Times New Roman"/>
          <w:color w:val="000000"/>
          <w:sz w:val="28"/>
          <w:szCs w:val="28"/>
        </w:rPr>
        <w:t>«Вестник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6284AAEE" w14:textId="77777777" w:rsidR="009F1B16" w:rsidRPr="002A206C" w:rsidRDefault="009F1B16" w:rsidP="009F1B16">
      <w:pPr>
        <w:numPr>
          <w:ilvl w:val="0"/>
          <w:numId w:val="1"/>
        </w:numPr>
        <w:tabs>
          <w:tab w:val="num" w:pos="993"/>
          <w:tab w:val="num" w:pos="1701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0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2A206C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2A20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tbl>
      <w:tblPr>
        <w:tblStyle w:val="a6"/>
        <w:tblW w:w="96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3402"/>
      </w:tblGrid>
      <w:tr w:rsidR="00D729AA" w:rsidRPr="002A206C" w14:paraId="67B16E79" w14:textId="77777777" w:rsidTr="002A206C">
        <w:tc>
          <w:tcPr>
            <w:tcW w:w="6209" w:type="dxa"/>
          </w:tcPr>
          <w:p w14:paraId="55D9D607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F4BADD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A206C" w14:paraId="27EE5368" w14:textId="77777777" w:rsidTr="002A206C">
        <w:tc>
          <w:tcPr>
            <w:tcW w:w="6209" w:type="dxa"/>
          </w:tcPr>
          <w:p w14:paraId="1CE80F05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94FE59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A206C" w14:paraId="661A8C73" w14:textId="77777777" w:rsidTr="002A206C">
        <w:tc>
          <w:tcPr>
            <w:tcW w:w="6209" w:type="dxa"/>
          </w:tcPr>
          <w:p w14:paraId="7D0283A9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81E427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2A206C" w14:paraId="34AC5B14" w14:textId="77777777" w:rsidTr="002A206C">
        <w:tc>
          <w:tcPr>
            <w:tcW w:w="6209" w:type="dxa"/>
          </w:tcPr>
          <w:p w14:paraId="07729904" w14:textId="77777777" w:rsidR="002A206C" w:rsidRDefault="006A3160" w:rsidP="000D263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206C"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="00B508BF" w:rsidRPr="002A206C">
              <w:rPr>
                <w:b/>
                <w:bCs/>
                <w:color w:val="000000"/>
                <w:sz w:val="28"/>
                <w:szCs w:val="28"/>
              </w:rPr>
              <w:t xml:space="preserve">Няндомского </w:t>
            </w:r>
          </w:p>
          <w:p w14:paraId="238B0147" w14:textId="519976E2" w:rsidR="00A70CCC" w:rsidRPr="002A206C" w:rsidRDefault="006A3160" w:rsidP="000D263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206C"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0D263D" w:rsidRPr="002A206C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14:paraId="26BCD10B" w14:textId="77777777" w:rsidR="00B508BF" w:rsidRPr="002A206C" w:rsidRDefault="000D263D" w:rsidP="004258E5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A206C"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4809F6C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9"/>
          <w:headerReference w:type="first" r:id="rId10"/>
          <w:footerReference w:type="first" r:id="rId11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B720DD" w:rsidRPr="00B720DD" w14:paraId="0D41339A" w14:textId="77777777" w:rsidTr="00B720DD">
        <w:tc>
          <w:tcPr>
            <w:tcW w:w="4387" w:type="dxa"/>
          </w:tcPr>
          <w:p w14:paraId="3193C6DF" w14:textId="307BC77D" w:rsidR="00B720DD" w:rsidRPr="00B720DD" w:rsidRDefault="00B720DD" w:rsidP="009D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УТВЕРЖДЕНА</w:t>
            </w:r>
          </w:p>
        </w:tc>
      </w:tr>
      <w:tr w:rsidR="00B720DD" w:rsidRPr="00B720DD" w14:paraId="61F68EF1" w14:textId="77777777" w:rsidTr="00B720DD">
        <w:tc>
          <w:tcPr>
            <w:tcW w:w="4387" w:type="dxa"/>
          </w:tcPr>
          <w:p w14:paraId="19656594" w14:textId="77777777" w:rsidR="00B720DD" w:rsidRPr="00B720DD" w:rsidRDefault="00B720DD" w:rsidP="009D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</w:tc>
      </w:tr>
      <w:tr w:rsidR="00B720DD" w:rsidRPr="00B720DD" w14:paraId="288CF25E" w14:textId="77777777" w:rsidTr="00B720DD">
        <w:tc>
          <w:tcPr>
            <w:tcW w:w="4387" w:type="dxa"/>
          </w:tcPr>
          <w:p w14:paraId="4AD6ABE3" w14:textId="77777777" w:rsidR="00B720DD" w:rsidRPr="00B720DD" w:rsidRDefault="00B720DD" w:rsidP="009D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Няндомского муниципального округа                                                                  Архангельской области</w:t>
            </w:r>
          </w:p>
        </w:tc>
      </w:tr>
      <w:tr w:rsidR="00B720DD" w:rsidRPr="00B720DD" w14:paraId="6293A114" w14:textId="77777777" w:rsidTr="00B720DD">
        <w:tc>
          <w:tcPr>
            <w:tcW w:w="4387" w:type="dxa"/>
          </w:tcPr>
          <w:p w14:paraId="423ABDE4" w14:textId="77777777" w:rsidR="00B720DD" w:rsidRPr="00B720DD" w:rsidRDefault="00B720DD" w:rsidP="009D4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0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«19» января 2023 г. № 51 -па</w:t>
            </w:r>
          </w:p>
        </w:tc>
      </w:tr>
    </w:tbl>
    <w:p w14:paraId="0D66BB5D" w14:textId="77777777" w:rsidR="00B720DD" w:rsidRDefault="00B720DD" w:rsidP="00B720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D5B351" w14:textId="17A0C308" w:rsidR="00B720DD" w:rsidRPr="00A126D4" w:rsidRDefault="00B720DD" w:rsidP="00B720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6D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314D0E62" w14:textId="77777777" w:rsidR="00B720DD" w:rsidRPr="00A126D4" w:rsidRDefault="00B720DD" w:rsidP="00B720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6D4">
        <w:rPr>
          <w:rFonts w:ascii="Times New Roman" w:hAnsi="Times New Roman" w:cs="Times New Roman"/>
          <w:sz w:val="28"/>
          <w:szCs w:val="28"/>
        </w:rPr>
        <w:t>«Обеспечение безопасности населения Няндомского муниципального округа»</w:t>
      </w:r>
    </w:p>
    <w:p w14:paraId="742D84EA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1150F182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694DBC4D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663DB907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«Обеспечение безопасности населения Няндомского муниципального округа»</w:t>
      </w:r>
    </w:p>
    <w:p w14:paraId="68F02053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1507BC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14:paraId="44D6B39A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6203"/>
      </w:tblGrid>
      <w:tr w:rsidR="00B720DD" w:rsidRPr="00A126D4" w14:paraId="00BA86A3" w14:textId="77777777" w:rsidTr="00C35897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01E5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9E0F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чрезвычайных ситуаций и мобилизационной работы администрации Няндомского муниципального округа Архангельской области (далее – отдел ГО, ЧС и МР)</w:t>
            </w:r>
          </w:p>
        </w:tc>
      </w:tr>
      <w:tr w:rsidR="00B720DD" w:rsidRPr="00A126D4" w14:paraId="4B58AE62" w14:textId="77777777" w:rsidTr="00C35897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BEE2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A943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«Эксплуатационно-техническое управление» (далее – МКУ «ЭТУ»),</w:t>
            </w:r>
          </w:p>
          <w:p w14:paraId="3278476B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«Расчетно-кассовый центр жилищно-коммунального хозяйства Няндомского муниципального района Архангельской области» (далее – МАУ «РКЦ ЖКХ»)</w:t>
            </w:r>
          </w:p>
        </w:tc>
      </w:tr>
      <w:tr w:rsidR="00B720DD" w:rsidRPr="00A126D4" w14:paraId="694FA1FA" w14:textId="77777777" w:rsidTr="00C35897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CFA1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07C9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Администрация Няндомского муниципального округа Архангельской области, добровольные пожарные команды регионального общественного учреждения пожарной охраны «Добровольная пожарная команда ВДПО Архангельской области», расположенные на территории муниципального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Няндомского муниципального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организации, выполняющие работы, предусмотренные настоящей Программой,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муниципального округа,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культуры, спортивные организации, ОМВД России «Няндомский», Няндомский филиал ФГКУ УВО ВНГ России по Архангельской области (</w:t>
            </w:r>
            <w:proofErr w:type="spell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Россгвардия</w:t>
            </w:r>
            <w:proofErr w:type="spell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 и ПР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Няндомского, Каргопольского и Коношского районов, отделение в </w:t>
            </w:r>
            <w:proofErr w:type="spell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 Плесецк РУ ФСБ России по Архангельской области.</w:t>
            </w:r>
          </w:p>
        </w:tc>
      </w:tr>
      <w:tr w:rsidR="00B720DD" w:rsidRPr="00A126D4" w14:paraId="48BAD982" w14:textId="77777777" w:rsidTr="00C35897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ECAE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A887" w14:textId="77777777" w:rsidR="00B720DD" w:rsidRPr="00A126D4" w:rsidRDefault="00B720DD" w:rsidP="00C35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Цель: 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характера.</w:t>
            </w:r>
          </w:p>
          <w:p w14:paraId="1E2F0A4D" w14:textId="77777777" w:rsidR="00B720DD" w:rsidRPr="00A126D4" w:rsidRDefault="00B720DD" w:rsidP="00C35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0DAAFBDA" w14:textId="77777777" w:rsidR="00B720DD" w:rsidRPr="00A126D4" w:rsidRDefault="00B720DD" w:rsidP="00C35897">
            <w:pPr>
              <w:pStyle w:val="ConsPlusNormal"/>
              <w:numPr>
                <w:ilvl w:val="0"/>
                <w:numId w:val="7"/>
              </w:numPr>
              <w:tabs>
                <w:tab w:val="left" w:pos="211"/>
              </w:tabs>
              <w:suppressAutoHyphens/>
              <w:autoSpaceDN/>
              <w:adjustRightInd/>
              <w:ind w:left="0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мирного и военного времени;</w:t>
            </w:r>
          </w:p>
          <w:p w14:paraId="738C7F6F" w14:textId="77777777" w:rsidR="00B720DD" w:rsidRPr="00A126D4" w:rsidRDefault="00B720DD" w:rsidP="00C35897">
            <w:pPr>
              <w:pStyle w:val="ConsPlusNormal"/>
              <w:numPr>
                <w:ilvl w:val="0"/>
                <w:numId w:val="7"/>
              </w:numPr>
              <w:tabs>
                <w:tab w:val="left" w:pos="211"/>
              </w:tabs>
              <w:suppressAutoHyphens/>
              <w:autoSpaceDN/>
              <w:adjustRightInd/>
              <w:ind w:left="0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комплексной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защищённости в Няндомском муниципальном округе;</w:t>
            </w:r>
          </w:p>
          <w:p w14:paraId="7001A9BA" w14:textId="77777777" w:rsidR="00B720DD" w:rsidRPr="00A126D4" w:rsidRDefault="00B720DD" w:rsidP="00C35897">
            <w:pPr>
              <w:pStyle w:val="ConsPlusNormal"/>
              <w:numPr>
                <w:ilvl w:val="0"/>
                <w:numId w:val="7"/>
              </w:numPr>
              <w:tabs>
                <w:tab w:val="left" w:pos="211"/>
              </w:tabs>
              <w:suppressAutoHyphens/>
              <w:autoSpaceDN/>
              <w:adjustRightInd/>
              <w:ind w:left="0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безопасности, защиты жизни и здоровья граждан;</w:t>
            </w:r>
          </w:p>
          <w:p w14:paraId="0AD92DB3" w14:textId="77777777" w:rsidR="00B720DD" w:rsidRPr="00A126D4" w:rsidRDefault="00B720DD" w:rsidP="00C35897">
            <w:pPr>
              <w:pStyle w:val="ConsPlusNormal"/>
              <w:numPr>
                <w:ilvl w:val="0"/>
                <w:numId w:val="7"/>
              </w:numPr>
              <w:tabs>
                <w:tab w:val="left" w:pos="211"/>
              </w:tabs>
              <w:suppressAutoHyphens/>
              <w:autoSpaceDN/>
              <w:adjustRightInd/>
              <w:ind w:left="0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B720DD" w:rsidRPr="00A126D4" w14:paraId="7BEA50E5" w14:textId="77777777" w:rsidTr="00C35897">
        <w:trPr>
          <w:trHeight w:val="24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3E2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2EE8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 01.01.2023 года по 31.12.2025 года</w:t>
            </w:r>
          </w:p>
        </w:tc>
      </w:tr>
      <w:tr w:rsidR="00B720DD" w:rsidRPr="00A126D4" w14:paraId="0F377F5C" w14:textId="77777777" w:rsidTr="00C35897">
        <w:trPr>
          <w:trHeight w:val="36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607E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B2FD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16 067,7 тыс. рублей, в том числе средства бюджета округа – 16 067,7 тыс. рублей</w:t>
            </w:r>
          </w:p>
        </w:tc>
      </w:tr>
      <w:tr w:rsidR="00B720DD" w:rsidRPr="00A126D4" w14:paraId="4301AA1B" w14:textId="77777777" w:rsidTr="00C35897">
        <w:trPr>
          <w:trHeight w:val="360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B22E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Подпрограммы (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мероприятия)  программы</w:t>
            </w:r>
            <w:proofErr w:type="gramEnd"/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6CAD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службы»;</w:t>
            </w:r>
          </w:p>
          <w:p w14:paraId="48DAD3C8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Подпрограмма 2 «Противодействие идеологии экстремизма, предупреждение терроризма»;</w:t>
            </w:r>
          </w:p>
          <w:p w14:paraId="0DFB7C92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Подпрограмма 3 «Пожарная безопасность»;</w:t>
            </w:r>
          </w:p>
          <w:p w14:paraId="03E6A983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«Безопасность людей на водных объектах» </w:t>
            </w:r>
          </w:p>
        </w:tc>
      </w:tr>
      <w:tr w:rsidR="00B720DD" w:rsidRPr="00A126D4" w14:paraId="6D9C1A64" w14:textId="77777777" w:rsidTr="00C35897">
        <w:trPr>
          <w:trHeight w:val="1403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AB65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14:paraId="1FA71683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6ABE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Снижен риск возникновения чрезвычайных ситуаций природного и техногенного характера;</w:t>
            </w:r>
          </w:p>
          <w:p w14:paraId="6566DBFB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повышен уровень подготовленности населения Няндомского муниципального округа к действиям в условиях угрозы возникновения и в случае возникновения чрезвычайных ситуаций мирного и военного времени;</w:t>
            </w:r>
            <w:r w:rsidRPr="00A12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1207AC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повышена эффективность мер профилактики по антитеррористической безопасности; </w:t>
            </w:r>
          </w:p>
          <w:p w14:paraId="6CBD2301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снижено по отношению к 2021 году   количество пожаров, гибели и травмирования людей при пожарах, в том числе за счет качественного обеспечения органами местного самоуправления первичных мер пожарной безопасности, </w:t>
            </w:r>
          </w:p>
          <w:p w14:paraId="2EF4CF2E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сократился материальный ущерб от пожаров; </w:t>
            </w:r>
          </w:p>
          <w:p w14:paraId="00BCEE42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пляжа, используемые для отдыха населением, оснащены спасательными постами и инвентарем;</w:t>
            </w:r>
          </w:p>
          <w:p w14:paraId="6B0D0595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снижено количество случаев гибели людей на водных объектах.</w:t>
            </w:r>
          </w:p>
        </w:tc>
      </w:tr>
    </w:tbl>
    <w:p w14:paraId="18AD5E0D" w14:textId="77777777" w:rsidR="00B720DD" w:rsidRPr="00A126D4" w:rsidRDefault="00B720DD" w:rsidP="00B720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br w:type="page"/>
      </w:r>
      <w:r w:rsidRPr="00A1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 Целевые показатели муниципальной программы</w:t>
      </w:r>
    </w:p>
    <w:p w14:paraId="4DFDC59B" w14:textId="77777777" w:rsidR="00B720DD" w:rsidRPr="00A126D4" w:rsidRDefault="00B720DD" w:rsidP="00B720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744"/>
        <w:gridCol w:w="992"/>
        <w:gridCol w:w="993"/>
        <w:gridCol w:w="567"/>
        <w:gridCol w:w="50"/>
        <w:gridCol w:w="517"/>
        <w:gridCol w:w="1135"/>
      </w:tblGrid>
      <w:tr w:rsidR="00B720DD" w:rsidRPr="00A126D4" w14:paraId="69BF3A4A" w14:textId="77777777" w:rsidTr="00C35897">
        <w:trPr>
          <w:cantSplit/>
          <w:trHeight w:val="240"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29D95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14:paraId="62B4218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№</w:t>
            </w:r>
          </w:p>
          <w:p w14:paraId="33777EC1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74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4680D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4DCA7474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25BA2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26D4">
              <w:rPr>
                <w:rFonts w:ascii="Times New Roman" w:hAnsi="Times New Roman" w:cs="Times New Roman"/>
                <w:b/>
              </w:rPr>
              <w:t>Едини-</w:t>
            </w:r>
            <w:proofErr w:type="spellStart"/>
            <w:r w:rsidRPr="00A126D4">
              <w:rPr>
                <w:rFonts w:ascii="Times New Roman" w:hAnsi="Times New Roman" w:cs="Times New Roman"/>
                <w:b/>
              </w:rPr>
              <w:t>ца</w:t>
            </w:r>
            <w:proofErr w:type="spellEnd"/>
            <w:proofErr w:type="gramEnd"/>
            <w:r w:rsidRPr="00A126D4">
              <w:rPr>
                <w:rFonts w:ascii="Times New Roman" w:hAnsi="Times New Roman" w:cs="Times New Roman"/>
                <w:b/>
              </w:rPr>
              <w:t xml:space="preserve"> </w:t>
            </w:r>
            <w:r w:rsidRPr="00A126D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A126D4">
              <w:rPr>
                <w:rFonts w:ascii="Times New Roman" w:hAnsi="Times New Roman" w:cs="Times New Roman"/>
                <w:b/>
              </w:rPr>
              <w:t>измере-ния</w:t>
            </w:r>
            <w:proofErr w:type="spellEnd"/>
          </w:p>
        </w:tc>
        <w:tc>
          <w:tcPr>
            <w:tcW w:w="3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395C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Значения целевых показателей</w:t>
            </w:r>
          </w:p>
        </w:tc>
      </w:tr>
      <w:tr w:rsidR="00B720DD" w:rsidRPr="00A126D4" w14:paraId="697304DC" w14:textId="77777777" w:rsidTr="00C35897">
        <w:trPr>
          <w:cantSplit/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2C07BD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31DC36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FBC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CECD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ind w:left="-62" w:right="-75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базовый 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5475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ind w:left="-62" w:right="-75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 xml:space="preserve">2023 </w:t>
            </w:r>
          </w:p>
          <w:p w14:paraId="659BD901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ind w:left="-62" w:right="-75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E6AA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ind w:left="-62" w:right="-75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BF6F" w14:textId="77777777" w:rsidR="00B720DD" w:rsidRDefault="00B720DD" w:rsidP="00C35897">
            <w:pPr>
              <w:spacing w:line="240" w:lineRule="auto"/>
              <w:ind w:left="-62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завершающий </w:t>
            </w:r>
          </w:p>
          <w:p w14:paraId="4DA5B73A" w14:textId="77777777" w:rsidR="00B720DD" w:rsidRPr="00A126D4" w:rsidRDefault="00B720DD" w:rsidP="00C35897">
            <w:pPr>
              <w:spacing w:line="240" w:lineRule="auto"/>
              <w:ind w:left="-62" w:right="-75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B720DD" w:rsidRPr="00A126D4" w14:paraId="0B519D12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E4F20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7E6B5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FE63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F9B4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2AC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3E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32B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20DD" w:rsidRPr="00A126D4" w14:paraId="7E1A7164" w14:textId="77777777" w:rsidTr="00C35897">
        <w:trPr>
          <w:cantSplit/>
          <w:trHeight w:val="240"/>
          <w:jc w:val="center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363D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 Няндомского муниципального округа»</w:t>
            </w:r>
          </w:p>
        </w:tc>
      </w:tr>
      <w:tr w:rsidR="00B720DD" w:rsidRPr="00A126D4" w14:paraId="31C5492F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7D094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AD877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ЕДДС согласно ГОСТ Р 22.7.01-2021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32FB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BAC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085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7B32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964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720DD" w:rsidRPr="00A126D4" w14:paraId="0824C610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561AB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D5E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изданных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буклетов, листовок, опубликованных материалов по пропаганде антитеррористической направленности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F7A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A6DE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622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1AE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EF1B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720DD" w:rsidRPr="00A126D4" w14:paraId="7A59D3D9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F12FB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7DF61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запланированного комплекса мероприятий, направленного на повышение безопасности населенных пунктов от лесных пожаров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6EE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0FC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258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3BD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46C5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0DD" w:rsidRPr="00A126D4" w14:paraId="585CAC7C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211554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C2E22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стендов, знаков по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701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325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F83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24B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544C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20DD" w:rsidRPr="00A126D4" w14:paraId="3EFAA028" w14:textId="77777777" w:rsidTr="00C35897">
        <w:trPr>
          <w:cantSplit/>
          <w:trHeight w:val="240"/>
          <w:jc w:val="center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1E63D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</w:t>
            </w:r>
          </w:p>
        </w:tc>
      </w:tr>
      <w:tr w:rsidR="00B720DD" w:rsidRPr="00A126D4" w14:paraId="355A481E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DEEAE2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5BD77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проведенных тренировок личного состава ЕДДС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23E2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E8F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DED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9DC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5DB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20DD" w:rsidRPr="00A126D4" w14:paraId="607A51F3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8D6C6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5A761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изданных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буклетов, листовок   по предупреждению ЧС на территории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11E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805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1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FC3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2AB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720DD" w:rsidRPr="00A126D4" w14:paraId="4C43F6C6" w14:textId="77777777" w:rsidTr="00C35897">
        <w:trPr>
          <w:cantSplit/>
          <w:trHeight w:val="240"/>
          <w:jc w:val="center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6C79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12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«Противодействие идеологии экстремизма, предупреждение терроризма»</w:t>
            </w:r>
          </w:p>
        </w:tc>
      </w:tr>
      <w:tr w:rsidR="00B720DD" w:rsidRPr="00A126D4" w14:paraId="38A2DF5B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EDAA0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61E0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стендов наглядной агитации, памяток, печатной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вопросом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A12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ротиводействи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A12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идеологии экстремизма, предупреждение терроризма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5CE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5DB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E2A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5B8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976C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720DD" w:rsidRPr="00A126D4" w14:paraId="75F497AD" w14:textId="77777777" w:rsidTr="00C35897">
        <w:trPr>
          <w:cantSplit/>
          <w:trHeight w:val="240"/>
          <w:jc w:val="center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F66B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Подпрограмма 3 «Пожарная безопасность»</w:t>
            </w:r>
          </w:p>
        </w:tc>
      </w:tr>
      <w:tr w:rsidR="00B720DD" w:rsidRPr="00A126D4" w14:paraId="0EF7089A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BCB32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F270A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отремонтированных пожарных водоемов 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Няндомского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775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DE4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821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665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54C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20DD" w:rsidRPr="00A126D4" w14:paraId="47F171A0" w14:textId="77777777" w:rsidTr="00C35897">
        <w:trPr>
          <w:cantSplit/>
          <w:trHeight w:val="65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11C467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86FB1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материально-технической базы ДПО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D60E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C17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893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D9DE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F4EA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720DD" w:rsidRPr="00A126D4" w14:paraId="5DA94C7B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0DEF2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598E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sz w:val="24"/>
                <w:szCs w:val="24"/>
              </w:rPr>
              <w:t>Охват населения проведенным информированием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5EC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231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622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62F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0C9B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20DD" w:rsidRPr="00A126D4" w14:paraId="5716C4C1" w14:textId="77777777" w:rsidTr="00C35897">
        <w:trPr>
          <w:cantSplit/>
          <w:trHeight w:val="240"/>
          <w:jc w:val="center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7F10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Подпрограмма 4 «Безопасность людей на водных объектах»</w:t>
            </w:r>
          </w:p>
        </w:tc>
      </w:tr>
      <w:tr w:rsidR="00B720DD" w:rsidRPr="00A126D4" w14:paraId="79ACDD7F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6FBD4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7B415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Обустройство пляжей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48B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927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932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148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74F0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0DD" w:rsidRPr="00A126D4" w14:paraId="51722C37" w14:textId="77777777" w:rsidTr="00C35897">
        <w:trPr>
          <w:cantSplit/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A47D2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6238B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изданных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буклетов, листовок, опубликованных материалов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безопасности на воде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1D2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E06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49C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45A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2D7F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14:paraId="24171F6F" w14:textId="77777777" w:rsidR="00B720DD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61DBCEB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E543CF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Приоритеты муниципальной политики </w:t>
      </w:r>
    </w:p>
    <w:p w14:paraId="3F673E21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14:paraId="76C76156" w14:textId="77777777" w:rsidR="00B720DD" w:rsidRPr="00A126D4" w:rsidRDefault="00B720DD" w:rsidP="00B720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EE08EA" w14:textId="77777777" w:rsidR="00B720DD" w:rsidRPr="00A126D4" w:rsidRDefault="00B720DD" w:rsidP="00B72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Многие аварийные ситуации, чрезвычайные происшествия и стихийные бедствия нельзя предупредить, поэтому мероприятия по минимизации ущерба и потерь от них должны быть положены в основу прогнозирования, своевременного предупреждения и информирования населения об угрозе возникновения чрезвычайных ситуаций.</w:t>
      </w:r>
    </w:p>
    <w:p w14:paraId="1BD8EFC6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Программа ориентирована на все социальные слои населения Няндомского муниципального округа. Реализация программы призвана обеспечить подготовку населения к действиям по предупреждению чрезвычайных ситуаций и действиям в случае угрозы их возникновения, а также защиты территории Няндомского муниципального округа от чрезвычайных ситуаций. Обеспечение первичных мер пожарной безопасности является важным фактором устойчивого социально-экономического развития Няндомского муниципального округа Архангельской области. 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14:paraId="6C732E95" w14:textId="77777777" w:rsidR="00B720DD" w:rsidRPr="00A126D4" w:rsidRDefault="00B720DD" w:rsidP="00B72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14:paraId="19CEF80D" w14:textId="77777777" w:rsidR="00B720DD" w:rsidRPr="00A126D4" w:rsidRDefault="00B720DD" w:rsidP="00B72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Последовательное осуществление системы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ценностей в чрезвычайных ситуациях, обусловленных циклическими источниками чрезвычайных ситуаций.</w:t>
      </w:r>
    </w:p>
    <w:p w14:paraId="340ED02F" w14:textId="77777777" w:rsidR="00B720DD" w:rsidRPr="00A126D4" w:rsidRDefault="00B720DD" w:rsidP="00B72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проведению аварийно-спасательных работ в случае возникновения опасностей для населения вследствие чрезвычайных ситуаций, по борьбе с пожарами, обеспечению постоянной готовности сил и средств гражданской обороны, созданию оптимальных условий для деятельности и совершенствованию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14:paraId="37555D29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0E3CFAD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1EA2FB43" w14:textId="77777777" w:rsidR="00B720DD" w:rsidRPr="00A126D4" w:rsidRDefault="00B720DD" w:rsidP="00B720DD">
      <w:pPr>
        <w:pStyle w:val="af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E03E4" w14:textId="77777777" w:rsidR="00B720DD" w:rsidRPr="00A126D4" w:rsidRDefault="00B720DD" w:rsidP="00B720DD">
      <w:pPr>
        <w:pStyle w:val="af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837C3" w14:textId="77777777" w:rsidR="00B720DD" w:rsidRPr="00A126D4" w:rsidRDefault="00B720DD" w:rsidP="00B720DD">
      <w:pPr>
        <w:pStyle w:val="af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03073" w14:textId="77777777" w:rsidR="00B720DD" w:rsidRPr="00A126D4" w:rsidRDefault="00B720DD" w:rsidP="00B720DD">
      <w:pPr>
        <w:pStyle w:val="af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61F3" w14:textId="77777777" w:rsidR="00B720DD" w:rsidRPr="00A126D4" w:rsidRDefault="00B720DD" w:rsidP="00B720DD">
      <w:pPr>
        <w:pStyle w:val="af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D8DA2" w14:textId="77777777" w:rsidR="00B720DD" w:rsidRPr="00A126D4" w:rsidRDefault="00B720DD" w:rsidP="00B720DD">
      <w:pPr>
        <w:pStyle w:val="af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F37FA" w14:textId="77777777" w:rsidR="00B720DD" w:rsidRPr="00A126D4" w:rsidRDefault="00B720DD" w:rsidP="00B720DD">
      <w:pPr>
        <w:pStyle w:val="af"/>
        <w:jc w:val="center"/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sectPr w:rsidR="00B720DD" w:rsidRPr="00A126D4" w:rsidSect="00502099">
          <w:headerReference w:type="default" r:id="rId12"/>
          <w:headerReference w:type="first" r:id="rId13"/>
          <w:pgSz w:w="11906" w:h="16838"/>
          <w:pgMar w:top="1134" w:right="851" w:bottom="1134" w:left="1701" w:header="573" w:footer="567" w:gutter="0"/>
          <w:pgNumType w:start="2"/>
          <w:cols w:space="720"/>
          <w:titlePg/>
          <w:docGrid w:linePitch="299"/>
        </w:sectPr>
      </w:pPr>
    </w:p>
    <w:p w14:paraId="6933272B" w14:textId="77777777" w:rsidR="00B720DD" w:rsidRPr="00A126D4" w:rsidRDefault="00B720DD" w:rsidP="00B720DD">
      <w:pPr>
        <w:pStyle w:val="a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6D4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2. РЕСУРСНОЕ ОБЕСПЕЧЕНИЕ</w:t>
      </w:r>
    </w:p>
    <w:p w14:paraId="6A72830C" w14:textId="77777777" w:rsidR="00B720DD" w:rsidRPr="00A126D4" w:rsidRDefault="00B720DD" w:rsidP="00B720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безопасности населения Няндомского муниципального округа»</w:t>
      </w:r>
    </w:p>
    <w:p w14:paraId="461A48D0" w14:textId="77777777" w:rsidR="00B720DD" w:rsidRPr="00A126D4" w:rsidRDefault="00B720DD" w:rsidP="00B720DD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20"/>
        <w:gridCol w:w="1843"/>
        <w:gridCol w:w="1134"/>
        <w:gridCol w:w="1134"/>
        <w:gridCol w:w="1126"/>
        <w:gridCol w:w="936"/>
      </w:tblGrid>
      <w:tr w:rsidR="00B720DD" w:rsidRPr="00A126D4" w14:paraId="4B2BCA3E" w14:textId="77777777" w:rsidTr="00C35897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B27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DF9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08BDD50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087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93B7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Объем финансового обеспечения по годам реализации, тыс. рублей</w:t>
            </w:r>
          </w:p>
        </w:tc>
      </w:tr>
      <w:tr w:rsidR="00B720DD" w:rsidRPr="00A126D4" w14:paraId="09CDDCD7" w14:textId="77777777" w:rsidTr="00C35897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28A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60D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C79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914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83CE" w14:textId="77777777" w:rsidR="00B720DD" w:rsidRPr="00A126D4" w:rsidRDefault="00B720DD" w:rsidP="00C35897">
            <w:pPr>
              <w:pStyle w:val="ac"/>
              <w:ind w:left="-5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26D4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  <w:p w14:paraId="78CD50DF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F72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26D4"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  <w:p w14:paraId="7A54731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B50B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26D4"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  <w:p w14:paraId="25BE1F9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</w:tr>
      <w:tr w:rsidR="00B720DD" w:rsidRPr="00A126D4" w14:paraId="779F4174" w14:textId="77777777" w:rsidTr="00C35897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B72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5C0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F94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8BC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870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8FF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CFA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126D4">
              <w:rPr>
                <w:rFonts w:ascii="Times New Roman" w:hAnsi="Times New Roman"/>
                <w:b/>
              </w:rPr>
              <w:t>7</w:t>
            </w:r>
          </w:p>
        </w:tc>
      </w:tr>
      <w:tr w:rsidR="00B720DD" w:rsidRPr="00A126D4" w14:paraId="2CC424D2" w14:textId="77777777" w:rsidTr="00C35897">
        <w:trPr>
          <w:trHeight w:val="20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9EE8CA" w14:textId="77777777" w:rsidR="00B720DD" w:rsidRPr="00A126D4" w:rsidRDefault="00B720DD" w:rsidP="00C35897">
            <w:pPr>
              <w:pStyle w:val="ae"/>
              <w:jc w:val="center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6BB7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Обеспечение безопасности населения Няндомского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23F9E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F7F3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16 067,3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0539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5 200, 1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4D12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5 369, 3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8AF9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5 497,9</w:t>
            </w:r>
          </w:p>
        </w:tc>
      </w:tr>
      <w:tr w:rsidR="00B720DD" w:rsidRPr="00A126D4" w14:paraId="2AFEB05E" w14:textId="77777777" w:rsidTr="00C35897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C54947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373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9F4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40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16 067,3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B7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5 200, 1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EC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5 369, 3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AD8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5 497,9</w:t>
            </w:r>
          </w:p>
        </w:tc>
      </w:tr>
      <w:tr w:rsidR="00B720DD" w:rsidRPr="00A126D4" w14:paraId="051FDB48" w14:textId="77777777" w:rsidTr="00C35897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C0D31B" w14:textId="77777777" w:rsidR="00B720DD" w:rsidRPr="00A126D4" w:rsidRDefault="00B720DD" w:rsidP="00C35897">
            <w:pPr>
              <w:pStyle w:val="ae"/>
              <w:jc w:val="center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54D4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E53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0A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9 668,3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3C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3 067,1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A6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3D4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B720DD" w:rsidRPr="00A126D4" w14:paraId="42B1B5EC" w14:textId="77777777" w:rsidTr="00C35897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2C0597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0AE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13058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897B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9 668,3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0B84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3 067,1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A0DC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F558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B720DD" w:rsidRPr="00A126D4" w14:paraId="60B52D48" w14:textId="77777777" w:rsidTr="00C35897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9D0550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9B17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Противодействие идеологии экстремизма, предупреждение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0B5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0F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87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74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8B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20DD" w:rsidRPr="00A126D4" w14:paraId="321A3C41" w14:textId="77777777" w:rsidTr="00C35897">
        <w:trPr>
          <w:trHeight w:val="31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970AB6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CA5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2615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1B9B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D6869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44F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1496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20DD" w:rsidRPr="00A126D4" w14:paraId="21413B59" w14:textId="77777777" w:rsidTr="00C35897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64DCD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37030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BC8C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424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0AD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88F4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E7BD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B720DD" w:rsidRPr="00A126D4" w14:paraId="064ECB18" w14:textId="77777777" w:rsidTr="00C35897">
        <w:trPr>
          <w:trHeight w:val="276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8E9C2C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1D5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76CB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82F59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D4ED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2C7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24D5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B720DD" w:rsidRPr="00A126D4" w14:paraId="2B0C7193" w14:textId="77777777" w:rsidTr="00C35897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D21730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03A2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FA3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419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B6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53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90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20DD" w:rsidRPr="00A126D4" w14:paraId="29430761" w14:textId="77777777" w:rsidTr="00C35897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6DE16E" w14:textId="77777777" w:rsidR="00B720DD" w:rsidRPr="00A126D4" w:rsidRDefault="00B720DD" w:rsidP="00C3589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84F" w14:textId="77777777" w:rsidR="00B720DD" w:rsidRPr="00A126D4" w:rsidRDefault="00B720DD" w:rsidP="00C358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A640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04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A4F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F2E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F24B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14:paraId="0B7EEFCE" w14:textId="77777777" w:rsidR="00B720DD" w:rsidRPr="00A126D4" w:rsidRDefault="00B720DD" w:rsidP="00B720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720DD" w:rsidRPr="00A126D4" w:rsidSect="00502099">
          <w:pgSz w:w="16838" w:h="11906" w:orient="landscape"/>
          <w:pgMar w:top="851" w:right="1134" w:bottom="1701" w:left="1134" w:header="573" w:footer="567" w:gutter="0"/>
          <w:cols w:space="720"/>
        </w:sectPr>
      </w:pPr>
    </w:p>
    <w:p w14:paraId="1FC263F7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>Раздел 3. Характеристика подпрограмм муниципальной программы</w:t>
      </w:r>
    </w:p>
    <w:p w14:paraId="7F81C20F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EB6A8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3.1. Подпрограмма 1</w:t>
      </w:r>
    </w:p>
    <w:p w14:paraId="59B21296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</w:t>
      </w:r>
    </w:p>
    <w:p w14:paraId="1F7FF03E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безопасности населения Няндомского муниципального округа»</w:t>
      </w:r>
    </w:p>
    <w:p w14:paraId="0A3035A5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6BA7A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CDBB9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6776165B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14:paraId="38448C35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</w:t>
      </w:r>
    </w:p>
    <w:p w14:paraId="38C39D5A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«Обеспечение безопасности населения Няндомского муниципального округа»</w:t>
      </w:r>
    </w:p>
    <w:p w14:paraId="43786634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7311"/>
      </w:tblGrid>
      <w:tr w:rsidR="00B720DD" w:rsidRPr="00A126D4" w14:paraId="019D037A" w14:textId="77777777" w:rsidTr="00C35897">
        <w:trPr>
          <w:trHeight w:val="24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5B0EE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184B5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</w:tr>
      <w:tr w:rsidR="00B720DD" w:rsidRPr="00A126D4" w14:paraId="1D769035" w14:textId="77777777" w:rsidTr="00C35897">
        <w:trPr>
          <w:trHeight w:val="24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B0C33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F929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МКУ «ЭТУ»</w:t>
            </w:r>
          </w:p>
        </w:tc>
      </w:tr>
      <w:tr w:rsidR="00B720DD" w:rsidRPr="00A126D4" w14:paraId="7B69D536" w14:textId="77777777" w:rsidTr="00C35897">
        <w:trPr>
          <w:trHeight w:val="24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713E6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345CF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Няндомского муниципального округа Архангельской области, население </w:t>
            </w:r>
          </w:p>
        </w:tc>
      </w:tr>
      <w:tr w:rsidR="00B720DD" w:rsidRPr="00A126D4" w14:paraId="5A60E1ED" w14:textId="77777777" w:rsidTr="00C35897">
        <w:trPr>
          <w:trHeight w:val="24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F9B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51DF" w14:textId="77777777" w:rsidR="00B720DD" w:rsidRPr="00A126D4" w:rsidRDefault="00B720DD" w:rsidP="00C35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Цель: Снижение рисков возникновения чрезвычайных ситуаций мирного и военного времени.</w:t>
            </w:r>
          </w:p>
          <w:p w14:paraId="364C9335" w14:textId="77777777" w:rsidR="00B720DD" w:rsidRPr="00A126D4" w:rsidRDefault="00B720DD" w:rsidP="00C35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32B81EC3" w14:textId="77777777" w:rsidR="00B720DD" w:rsidRPr="00A126D4" w:rsidRDefault="00B720DD" w:rsidP="00C35897">
            <w:pPr>
              <w:pStyle w:val="ConsPlusNormal"/>
              <w:tabs>
                <w:tab w:val="left" w:pos="196"/>
              </w:tabs>
              <w:ind w:left="-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 Техническое оснащение ЕДДС в соответствии с ГОСТ Р 22.7.01-2021;</w:t>
            </w:r>
          </w:p>
          <w:p w14:paraId="5C80F5C1" w14:textId="77777777" w:rsidR="00B720DD" w:rsidRPr="00A126D4" w:rsidRDefault="00B720DD" w:rsidP="00C35897">
            <w:pPr>
              <w:pStyle w:val="ConsPlusNormal"/>
              <w:tabs>
                <w:tab w:val="left" w:pos="103"/>
              </w:tabs>
              <w:ind w:left="-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обеспечения и поддержания в высокой готовности сил и средств гражданской обороны.</w:t>
            </w:r>
          </w:p>
        </w:tc>
      </w:tr>
      <w:tr w:rsidR="00B720DD" w:rsidRPr="00A126D4" w14:paraId="43EC875D" w14:textId="77777777" w:rsidTr="00C35897">
        <w:trPr>
          <w:trHeight w:val="24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21C1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подпрограммы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CF18" w14:textId="77777777" w:rsidR="00B720DD" w:rsidRPr="00A126D4" w:rsidRDefault="00B720DD" w:rsidP="00C35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 01.01.2023 года по 31.12.2025 года</w:t>
            </w:r>
          </w:p>
        </w:tc>
      </w:tr>
      <w:tr w:rsidR="00B720DD" w:rsidRPr="00A126D4" w14:paraId="3D50F7BD" w14:textId="77777777" w:rsidTr="00C35897">
        <w:trPr>
          <w:trHeight w:val="36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1C4BD" w14:textId="77777777" w:rsidR="00B720DD" w:rsidRPr="00A126D4" w:rsidRDefault="00B720DD" w:rsidP="00C358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Объёмы и источники финансирования</w:t>
            </w:r>
          </w:p>
          <w:p w14:paraId="18B56B37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подпрограммы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EDAF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предусмотренных на реализацию подпрограммы – 9 668,3 тыс. рублей, в том числе средства бюджета округа – 9 668,3 тыс. рублей</w:t>
            </w:r>
          </w:p>
        </w:tc>
      </w:tr>
    </w:tbl>
    <w:p w14:paraId="663CEB19" w14:textId="77777777" w:rsidR="00B720DD" w:rsidRPr="00A126D4" w:rsidRDefault="00B720DD" w:rsidP="00B720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A13FBF8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3.1.1. Характеристика сферы реализации подпрограммы, описание основных проблем и обоснование включения в муниципальную программу</w:t>
      </w:r>
    </w:p>
    <w:p w14:paraId="7BB6236B" w14:textId="77777777" w:rsidR="00B720DD" w:rsidRPr="00A126D4" w:rsidRDefault="00B720DD" w:rsidP="00B720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579C745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Обеспечение условий для безопасной жизнедеятельности населения Няндомского муниципального округа,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населения.</w:t>
      </w:r>
    </w:p>
    <w:p w14:paraId="7BDE5E3B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Проблемным вопросом остается техническое оснащение единой дежурно-диспетчерской службы Няндомского муниципального округа Архангельской области (далее – ЕДДС) современным оборудованием, средствами связи, приборами, имуществом для ведения аварийно-спасательных работ, позволяющим своевременно и в полном объеме выполнять поставленные задачи как в условиях чрезвычайных ситуаций, так и в повседневной деятельности.</w:t>
      </w:r>
    </w:p>
    <w:p w14:paraId="1CD1F82B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 xml:space="preserve">Выполнение прогнозирования, предупреждения и оперативного реагирования на </w:t>
      </w:r>
      <w:r w:rsidRPr="00A126D4">
        <w:rPr>
          <w:rFonts w:ascii="Times New Roman" w:hAnsi="Times New Roman" w:cs="Times New Roman"/>
          <w:sz w:val="24"/>
          <w:szCs w:val="24"/>
        </w:rPr>
        <w:lastRenderedPageBreak/>
        <w:t>чрезвычайные ситуации возможно при последовательном развитии и совершенствовании технической оснащенности ЕДДС, на базе которой необходимо продолжить развитие «Системы-112».</w:t>
      </w:r>
    </w:p>
    <w:p w14:paraId="3E2A517A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возложена на органы местного самоуправления.</w:t>
      </w:r>
    </w:p>
    <w:p w14:paraId="78849693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Поддержание в постоянной готовности к использованию автоматизированной системы централизованного оповещения населения города осуществляется с целью оповещения населения о чрезвычайных ситуациях.</w:t>
      </w:r>
    </w:p>
    <w:p w14:paraId="11917CC4" w14:textId="77777777" w:rsidR="00B720DD" w:rsidRPr="00A126D4" w:rsidRDefault="00B720DD" w:rsidP="00B72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720DD" w:rsidRPr="00A126D4" w:rsidSect="00502099">
          <w:pgSz w:w="11906" w:h="16838"/>
          <w:pgMar w:top="1134" w:right="851" w:bottom="1134" w:left="1701" w:header="573" w:footer="567" w:gutter="0"/>
          <w:cols w:space="720"/>
        </w:sectPr>
      </w:pPr>
    </w:p>
    <w:p w14:paraId="156C2C52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>3.1.2. ПЕРЕЧЕНЬ МЕРОПРИЯТИЙ</w:t>
      </w:r>
    </w:p>
    <w:p w14:paraId="71ECF358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подпрограммы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</w:t>
      </w:r>
    </w:p>
    <w:p w14:paraId="2A406198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безопасности населения Няндомского муниципального округа»</w:t>
      </w:r>
    </w:p>
    <w:p w14:paraId="02ECC9FB" w14:textId="77777777" w:rsidR="00B720DD" w:rsidRPr="00A126D4" w:rsidRDefault="00B720DD" w:rsidP="00B720DD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07"/>
        <w:gridCol w:w="3444"/>
        <w:gridCol w:w="2673"/>
        <w:gridCol w:w="936"/>
        <w:gridCol w:w="982"/>
        <w:gridCol w:w="982"/>
        <w:gridCol w:w="936"/>
      </w:tblGrid>
      <w:tr w:rsidR="00B720DD" w:rsidRPr="00A126D4" w14:paraId="55F6EC90" w14:textId="77777777" w:rsidTr="00C35897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59C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1EF6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6A8E" w14:textId="77777777" w:rsidR="00B720DD" w:rsidRPr="00A126D4" w:rsidRDefault="00B720DD" w:rsidP="00C35897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A35A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7E6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720DD" w:rsidRPr="00A126D4" w14:paraId="1B885202" w14:textId="77777777" w:rsidTr="00C35897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448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BE5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0A29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D8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3F1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A8A0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CB2F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16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2025</w:t>
            </w:r>
          </w:p>
          <w:p w14:paraId="7D0DF54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720DD" w:rsidRPr="00A126D4" w14:paraId="374DE31D" w14:textId="77777777" w:rsidTr="00C3589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D1B2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71A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10C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2E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700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79D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F6A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5E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20DD" w:rsidRPr="00A126D4" w14:paraId="47289DAF" w14:textId="77777777" w:rsidTr="00C35897">
        <w:trPr>
          <w:tblHeader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A6F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Снижение рисков возникновения чрезвычайных ситуаций мирного и военного времени.</w:t>
            </w:r>
          </w:p>
        </w:tc>
      </w:tr>
      <w:tr w:rsidR="00B720DD" w:rsidRPr="00A126D4" w14:paraId="455F83FD" w14:textId="77777777" w:rsidTr="00C35897">
        <w:trPr>
          <w:trHeight w:val="1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62CBF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Техническое оснащение ЕДДС в соответствии с ГОСТ Р 22.7.01-2021</w:t>
            </w:r>
          </w:p>
        </w:tc>
      </w:tr>
      <w:tr w:rsidR="00B720DD" w:rsidRPr="00A126D4" w14:paraId="2BED2C2A" w14:textId="77777777" w:rsidTr="00C35897">
        <w:trPr>
          <w:trHeight w:val="1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74A4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8E5E0" w14:textId="77777777" w:rsidR="00B720DD" w:rsidRPr="00A126D4" w:rsidRDefault="00B720DD" w:rsidP="00C3589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ЕДДС Няндомского муниципального округа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78DD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МКУ «ЭТУ»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47B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40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19D1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3 047,1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51A0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3 216,3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33C7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3 344,9</w:t>
            </w:r>
          </w:p>
        </w:tc>
      </w:tr>
      <w:tr w:rsidR="00B720DD" w:rsidRPr="00A126D4" w14:paraId="0E693411" w14:textId="77777777" w:rsidTr="00C35897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1D0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54B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A869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7E24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52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83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3 047,1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B58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3 216,3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19C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3 344,9</w:t>
            </w:r>
          </w:p>
        </w:tc>
      </w:tr>
      <w:tr w:rsidR="00B720DD" w:rsidRPr="00A126D4" w14:paraId="7D82D2C1" w14:textId="77777777" w:rsidTr="00C35897">
        <w:trPr>
          <w:trHeight w:val="11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343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– Создание условий для обеспечения и поддержания в высокой готовности сил и средств гражданской обороны</w:t>
            </w:r>
          </w:p>
        </w:tc>
      </w:tr>
      <w:tr w:rsidR="00B720DD" w:rsidRPr="00A126D4" w14:paraId="41EB1EB1" w14:textId="77777777" w:rsidTr="00C35897">
        <w:trPr>
          <w:trHeight w:val="1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3FE9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829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D15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1708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544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7DAE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794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059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22EC9B74" w14:textId="77777777" w:rsidTr="00C3589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513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119D" w14:textId="77777777" w:rsidR="00B720DD" w:rsidRPr="00A126D4" w:rsidRDefault="00B720DD" w:rsidP="00C3589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6B1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D80E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647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A2E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E75C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88C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68EADBDE" w14:textId="77777777" w:rsidTr="00C35897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4847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A7C1C" w14:textId="77777777" w:rsidR="00B720DD" w:rsidRPr="00A126D4" w:rsidRDefault="00B720DD" w:rsidP="00C3589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Аттестация объектов информатизации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7FE7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C8DD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18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368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3D52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44B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0DD" w:rsidRPr="00A126D4" w14:paraId="1007B3DF" w14:textId="77777777" w:rsidTr="00C35897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BBE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4D3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80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6E0C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A37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F5A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F75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846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0DD" w:rsidRPr="00A126D4" w14:paraId="3F5DDB18" w14:textId="77777777" w:rsidTr="00C35897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C31E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289E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EED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9 668,3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0B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3 067,1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C0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83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B720DD" w:rsidRPr="00A126D4" w14:paraId="0E62851C" w14:textId="77777777" w:rsidTr="00C35897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4E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D27A" w14:textId="77777777" w:rsidR="00B720DD" w:rsidRPr="00A126D4" w:rsidRDefault="00B720DD" w:rsidP="00C35897">
            <w:pPr>
              <w:pStyle w:val="ae"/>
              <w:jc w:val="both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1A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9 668,3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92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3 067,1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F01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F3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</w:tbl>
    <w:p w14:paraId="74994721" w14:textId="77777777" w:rsidR="00B720DD" w:rsidRPr="00A126D4" w:rsidRDefault="00B720DD" w:rsidP="00B720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AB387" w14:textId="77777777" w:rsidR="00B720DD" w:rsidRPr="00A126D4" w:rsidRDefault="00B720DD" w:rsidP="00B720DD">
      <w:pPr>
        <w:tabs>
          <w:tab w:val="left" w:pos="86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ab/>
      </w:r>
    </w:p>
    <w:p w14:paraId="47D6034E" w14:textId="77777777" w:rsidR="00B720DD" w:rsidRPr="00A126D4" w:rsidRDefault="00B720DD" w:rsidP="00B720DD">
      <w:pPr>
        <w:tabs>
          <w:tab w:val="left" w:pos="8623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B720DD" w:rsidRPr="00A126D4" w:rsidSect="00AA2B8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126D4">
        <w:rPr>
          <w:rFonts w:ascii="Times New Roman" w:hAnsi="Times New Roman" w:cs="Times New Roman"/>
          <w:sz w:val="24"/>
          <w:szCs w:val="24"/>
        </w:rPr>
        <w:tab/>
      </w:r>
    </w:p>
    <w:p w14:paraId="7849A930" w14:textId="77777777" w:rsidR="00B720DD" w:rsidRPr="00A126D4" w:rsidRDefault="00B720DD" w:rsidP="00B720D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>3.2. Подпрограмма 2</w:t>
      </w:r>
    </w:p>
    <w:p w14:paraId="3CEC9F2F" w14:textId="77777777" w:rsidR="00B720DD" w:rsidRPr="00A126D4" w:rsidRDefault="00B720DD" w:rsidP="00B720D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«Противодействие идеологии экстремизма, предупреждение терроризма»</w:t>
      </w:r>
    </w:p>
    <w:p w14:paraId="5CA39495" w14:textId="77777777" w:rsidR="00B720DD" w:rsidRPr="00A126D4" w:rsidRDefault="00B720DD" w:rsidP="00B720D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«Обеспечение безопасности населения Няндомского муниципального округа»</w:t>
      </w:r>
    </w:p>
    <w:p w14:paraId="0A87EF0D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A6DD0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B837EDC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подпрограммы 2</w:t>
      </w:r>
    </w:p>
    <w:p w14:paraId="4EA67D89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«Противодействие идеологии экстремизма, предупреждение терроризма» муниципальной программы «Обеспечение безопасности населения</w:t>
      </w:r>
      <w:r w:rsidRPr="00A126D4">
        <w:rPr>
          <w:rFonts w:ascii="Times New Roman" w:hAnsi="Times New Roman" w:cs="Times New Roman"/>
        </w:rPr>
        <w:t xml:space="preserve"> </w:t>
      </w:r>
      <w:r w:rsidRPr="00A126D4">
        <w:rPr>
          <w:rFonts w:ascii="Times New Roman" w:hAnsi="Times New Roman" w:cs="Times New Roman"/>
          <w:b/>
          <w:sz w:val="24"/>
          <w:szCs w:val="24"/>
        </w:rPr>
        <w:t>Няндомского муниципального округа»</w:t>
      </w:r>
    </w:p>
    <w:p w14:paraId="642AD2C6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7453"/>
      </w:tblGrid>
      <w:tr w:rsidR="00B720DD" w:rsidRPr="00A126D4" w14:paraId="6F5F36BF" w14:textId="77777777" w:rsidTr="00C35897">
        <w:trPr>
          <w:trHeight w:val="24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63F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371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МР.</w:t>
            </w:r>
          </w:p>
        </w:tc>
      </w:tr>
      <w:tr w:rsidR="00B720DD" w:rsidRPr="00A126D4" w14:paraId="33816251" w14:textId="77777777" w:rsidTr="00C35897">
        <w:trPr>
          <w:trHeight w:val="24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2F47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943B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20DD" w:rsidRPr="00A126D4" w14:paraId="2999F2AB" w14:textId="77777777" w:rsidTr="00C35897">
        <w:trPr>
          <w:trHeight w:val="24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0D3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A87F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Администрация Няндомского муниципального округа Архангельской области, население, муниципальные учреждения культуры, спортивные организации, ОМВД России «Няндомский», Няндомский филиал ФГКУ УВО ВНГ России по Архангельской области (</w:t>
            </w:r>
            <w:proofErr w:type="spell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Россгвардия</w:t>
            </w:r>
            <w:proofErr w:type="spell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), отдел надзорной деятельности и профилактической работы Няндомского, Каргопольского и Коношского районов, отделение в </w:t>
            </w:r>
            <w:proofErr w:type="spell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 Плесецк РУ ФСБ России по Архангельской области.</w:t>
            </w:r>
          </w:p>
        </w:tc>
      </w:tr>
      <w:tr w:rsidR="00B720DD" w:rsidRPr="00A126D4" w14:paraId="5641F372" w14:textId="77777777" w:rsidTr="00C35897">
        <w:trPr>
          <w:trHeight w:val="24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5E7E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CF7C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комплексной антитеррористической защищённости в Няндомском муниципальном округе</w:t>
            </w:r>
          </w:p>
          <w:p w14:paraId="749C7500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3141809B" w14:textId="77777777" w:rsidR="00B720DD" w:rsidRPr="00A126D4" w:rsidRDefault="00B720DD" w:rsidP="00B720DD">
            <w:pPr>
              <w:pStyle w:val="a5"/>
              <w:numPr>
                <w:ilvl w:val="0"/>
                <w:numId w:val="8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Профилактика терроризма и экстремизма;</w:t>
            </w:r>
          </w:p>
          <w:p w14:paraId="38EF7AAC" w14:textId="77777777" w:rsidR="00B720DD" w:rsidRPr="00A126D4" w:rsidRDefault="00B720DD" w:rsidP="00B720DD">
            <w:pPr>
              <w:pStyle w:val="a5"/>
              <w:numPr>
                <w:ilvl w:val="0"/>
                <w:numId w:val="8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Обеспечение антитеррористической защищенности мест массового пребывания людей.</w:t>
            </w:r>
          </w:p>
        </w:tc>
      </w:tr>
      <w:tr w:rsidR="00B720DD" w:rsidRPr="00A126D4" w14:paraId="5AA98243" w14:textId="77777777" w:rsidTr="00C35897">
        <w:trPr>
          <w:trHeight w:val="24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49E3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реализации подпрограммы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4B67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 года по 31.12.2025 года</w:t>
            </w:r>
          </w:p>
        </w:tc>
      </w:tr>
      <w:tr w:rsidR="00B720DD" w:rsidRPr="00A126D4" w14:paraId="6C7D64AA" w14:textId="77777777" w:rsidTr="00C35897">
        <w:trPr>
          <w:trHeight w:val="36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27FF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Объёмы и источники финансирования </w:t>
            </w:r>
            <w:r w:rsidRPr="00A126D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подпрограммы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2B71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предусмотренных на реализацию подпрограммы – 210,0 тыс. рублей, в том числе средства бюджета округа – 210,0 тыс. рублей</w:t>
            </w:r>
          </w:p>
        </w:tc>
      </w:tr>
    </w:tbl>
    <w:p w14:paraId="218BCD10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A9AB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3.2.1. Характеристика сферы реализации подпрограммы, описание основных проблем и обоснование включения в муниципальную программу</w:t>
      </w:r>
    </w:p>
    <w:p w14:paraId="30E7CA35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4518DD" w14:textId="77777777" w:rsidR="00B720DD" w:rsidRPr="00A126D4" w:rsidRDefault="00B720DD" w:rsidP="00B720DD">
      <w:pPr>
        <w:spacing w:line="240" w:lineRule="auto"/>
        <w:ind w:right="6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26D4">
        <w:rPr>
          <w:rFonts w:ascii="Times New Roman" w:hAnsi="Times New Roman" w:cs="Times New Roman"/>
          <w:color w:val="000000"/>
          <w:sz w:val="24"/>
          <w:szCs w:val="24"/>
        </w:rPr>
        <w:t xml:space="preserve">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В сложившихся обстоятельствах необходима реализация комплекса мероприятий в области противодействия терроризму на территории </w:t>
      </w:r>
      <w:r w:rsidRPr="00A126D4">
        <w:rPr>
          <w:rFonts w:ascii="Times New Roman" w:hAnsi="Times New Roman" w:cs="Times New Roman"/>
          <w:sz w:val="24"/>
          <w:szCs w:val="24"/>
        </w:rPr>
        <w:t>Няндомского муниципального округа</w:t>
      </w:r>
      <w:r w:rsidRPr="00A12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D7A64F" w14:textId="77777777" w:rsidR="00B720DD" w:rsidRPr="00A126D4" w:rsidRDefault="00B720DD" w:rsidP="00B720DD">
      <w:pPr>
        <w:spacing w:line="240" w:lineRule="auto"/>
        <w:ind w:right="6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26D4">
        <w:rPr>
          <w:rFonts w:ascii="Times New Roman" w:hAnsi="Times New Roman" w:cs="Times New Roman"/>
          <w:color w:val="000000"/>
          <w:sz w:val="24"/>
          <w:szCs w:val="24"/>
        </w:rPr>
        <w:t xml:space="preserve">Повышенного внимания требует обеспечение безопасности граждан, защиты потенциальных объектов террористических посягательств, в том числе мест массового пребывания людей. Только на территории г.Няндома расположены три места массового пребывания людей: городской парк, площадь Ленина, площадь Памяти. </w:t>
      </w:r>
    </w:p>
    <w:p w14:paraId="2C13FE3D" w14:textId="77777777" w:rsidR="00B720DD" w:rsidRPr="00A126D4" w:rsidRDefault="00B720DD" w:rsidP="00B720DD">
      <w:pPr>
        <w:spacing w:line="240" w:lineRule="auto"/>
        <w:ind w:right="6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26D4">
        <w:rPr>
          <w:rFonts w:ascii="Times New Roman" w:hAnsi="Times New Roman" w:cs="Times New Roman"/>
          <w:color w:val="000000"/>
          <w:sz w:val="24"/>
          <w:szCs w:val="24"/>
        </w:rPr>
        <w:t>Отдельную проблему создает незаконное пребывание иностранных граждан и осуществление ими трудовой деятельности на территории Няндомского муниципального округа, что в свою очередь, может ухудшать социальную обстановку, создавать условия для формирования террористических организаций политического и религиозного экстремизма, национализма.</w:t>
      </w:r>
    </w:p>
    <w:p w14:paraId="160D4653" w14:textId="77777777" w:rsidR="00B720DD" w:rsidRPr="00A126D4" w:rsidRDefault="00B720DD" w:rsidP="00B720DD">
      <w:pPr>
        <w:spacing w:line="240" w:lineRule="auto"/>
        <w:ind w:right="66" w:firstLine="709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A126D4">
        <w:rPr>
          <w:rFonts w:ascii="Times New Roman" w:hAnsi="Times New Roman" w:cs="Times New Roman"/>
          <w:sz w:val="24"/>
          <w:szCs w:val="24"/>
        </w:rPr>
        <w:t>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области и территориальные органы федеральных органов исполнительной власти и органов местного самоуправления.</w:t>
      </w:r>
    </w:p>
    <w:p w14:paraId="164FA1AA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B720DD" w:rsidRPr="00A126D4" w:rsidSect="005C702D">
          <w:headerReference w:type="default" r:id="rId14"/>
          <w:pgSz w:w="11906" w:h="16838"/>
          <w:pgMar w:top="1134" w:right="851" w:bottom="1134" w:left="1701" w:header="573" w:footer="567" w:gutter="0"/>
          <w:cols w:space="720"/>
          <w:docGrid w:linePitch="360"/>
        </w:sectPr>
      </w:pPr>
    </w:p>
    <w:p w14:paraId="07F9C37D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>3.2.2. ПЕРЕЧЕНЬ МЕРОПРИЯТИЙ</w:t>
      </w:r>
    </w:p>
    <w:p w14:paraId="13CD45E4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подпрограммы 2 «Противодействие идеологии экстремизма, предупреждение терроризма»</w:t>
      </w:r>
    </w:p>
    <w:p w14:paraId="44FEE723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безопасности населения Няндомского муниципального округа»</w:t>
      </w:r>
    </w:p>
    <w:p w14:paraId="01F6031C" w14:textId="77777777" w:rsidR="00B720DD" w:rsidRPr="00A126D4" w:rsidRDefault="00B720DD" w:rsidP="00B720DD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796"/>
        <w:gridCol w:w="3198"/>
        <w:gridCol w:w="2600"/>
        <w:gridCol w:w="819"/>
        <w:gridCol w:w="866"/>
        <w:gridCol w:w="866"/>
        <w:gridCol w:w="866"/>
      </w:tblGrid>
      <w:tr w:rsidR="00B720DD" w:rsidRPr="00A126D4" w14:paraId="528A6E6F" w14:textId="77777777" w:rsidTr="00C35897">
        <w:trPr>
          <w:trHeight w:val="255"/>
          <w:tblHeader/>
        </w:trPr>
        <w:tc>
          <w:tcPr>
            <w:tcW w:w="0" w:type="auto"/>
            <w:vMerge w:val="restart"/>
            <w:vAlign w:val="center"/>
          </w:tcPr>
          <w:p w14:paraId="55E1F10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57E8B206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14:paraId="1502732A" w14:textId="77777777" w:rsidR="00B720DD" w:rsidRPr="00A126D4" w:rsidRDefault="00B720DD" w:rsidP="00C35897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vAlign w:val="center"/>
          </w:tcPr>
          <w:p w14:paraId="1A08C3B7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vAlign w:val="center"/>
          </w:tcPr>
          <w:p w14:paraId="5D48F27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720DD" w:rsidRPr="00A126D4" w14:paraId="3ED08AF0" w14:textId="77777777" w:rsidTr="00C35897">
        <w:trPr>
          <w:trHeight w:val="562"/>
          <w:tblHeader/>
        </w:trPr>
        <w:tc>
          <w:tcPr>
            <w:tcW w:w="0" w:type="auto"/>
            <w:vMerge/>
            <w:vAlign w:val="center"/>
          </w:tcPr>
          <w:p w14:paraId="23BB82C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B95AA3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7B0059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6D2D382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090CC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133BED03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7D0040D6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14:paraId="0DC44D2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720DD" w:rsidRPr="00A126D4" w14:paraId="46EDAA12" w14:textId="77777777" w:rsidTr="00C35897">
        <w:trPr>
          <w:tblHeader/>
        </w:trPr>
        <w:tc>
          <w:tcPr>
            <w:tcW w:w="0" w:type="auto"/>
            <w:vAlign w:val="center"/>
          </w:tcPr>
          <w:p w14:paraId="616EF4C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8B0423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CEA0BDC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9D5A76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483E1E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27E195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A9EB78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5F4AF1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20DD" w:rsidRPr="00A126D4" w14:paraId="3BB13065" w14:textId="77777777" w:rsidTr="00C35897">
        <w:trPr>
          <w:trHeight w:val="218"/>
        </w:trPr>
        <w:tc>
          <w:tcPr>
            <w:tcW w:w="0" w:type="auto"/>
            <w:gridSpan w:val="8"/>
          </w:tcPr>
          <w:p w14:paraId="26A24EAE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комплексной антитеррористической защищённости в Няндомском муниципальном округе</w:t>
            </w:r>
          </w:p>
        </w:tc>
      </w:tr>
      <w:tr w:rsidR="00B720DD" w:rsidRPr="00A126D4" w14:paraId="17B8CC4F" w14:textId="77777777" w:rsidTr="00C35897">
        <w:trPr>
          <w:trHeight w:val="222"/>
        </w:trPr>
        <w:tc>
          <w:tcPr>
            <w:tcW w:w="0" w:type="auto"/>
            <w:gridSpan w:val="8"/>
          </w:tcPr>
          <w:p w14:paraId="179A5B99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Задача 1 - Профилактика терроризма и экстремизма </w:t>
            </w:r>
          </w:p>
        </w:tc>
      </w:tr>
      <w:tr w:rsidR="00B720DD" w:rsidRPr="00A126D4" w14:paraId="4CA44162" w14:textId="77777777" w:rsidTr="00C35897">
        <w:trPr>
          <w:trHeight w:val="202"/>
        </w:trPr>
        <w:tc>
          <w:tcPr>
            <w:tcW w:w="0" w:type="auto"/>
            <w:vMerge w:val="restart"/>
            <w:vAlign w:val="center"/>
          </w:tcPr>
          <w:p w14:paraId="2782B05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5BB4CC6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стендов наглядной агитации, памяток, печатной продукции</w:t>
            </w:r>
          </w:p>
        </w:tc>
        <w:tc>
          <w:tcPr>
            <w:tcW w:w="0" w:type="auto"/>
            <w:vMerge w:val="restart"/>
            <w:vAlign w:val="center"/>
          </w:tcPr>
          <w:p w14:paraId="4213805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vAlign w:val="center"/>
          </w:tcPr>
          <w:p w14:paraId="012F3E0F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vAlign w:val="center"/>
          </w:tcPr>
          <w:p w14:paraId="0C6C7E9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center"/>
          </w:tcPr>
          <w:p w14:paraId="394263F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4300F32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167CCBD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0AAD571B" w14:textId="77777777" w:rsidTr="00C35897">
        <w:trPr>
          <w:trHeight w:val="70"/>
        </w:trPr>
        <w:tc>
          <w:tcPr>
            <w:tcW w:w="0" w:type="auto"/>
            <w:vMerge/>
            <w:vAlign w:val="center"/>
          </w:tcPr>
          <w:p w14:paraId="546D1D6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90CBE5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8F01BD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685B46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vAlign w:val="center"/>
          </w:tcPr>
          <w:p w14:paraId="74825C6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center"/>
          </w:tcPr>
          <w:p w14:paraId="481EC7C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5FE430A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502A87E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340EAF56" w14:textId="77777777" w:rsidTr="00C35897">
        <w:trPr>
          <w:trHeight w:val="70"/>
        </w:trPr>
        <w:tc>
          <w:tcPr>
            <w:tcW w:w="0" w:type="auto"/>
            <w:gridSpan w:val="8"/>
            <w:vAlign w:val="center"/>
          </w:tcPr>
          <w:p w14:paraId="36F36FA4" w14:textId="77777777" w:rsidR="00B720DD" w:rsidRPr="00A126D4" w:rsidRDefault="00B720DD" w:rsidP="00C3589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2 - Обеспечение антитеррористической защищенности мест массового пребывания людей</w:t>
            </w:r>
          </w:p>
        </w:tc>
      </w:tr>
      <w:tr w:rsidR="00B720DD" w:rsidRPr="00A126D4" w14:paraId="5A4154EF" w14:textId="77777777" w:rsidTr="00C35897">
        <w:trPr>
          <w:trHeight w:val="70"/>
        </w:trPr>
        <w:tc>
          <w:tcPr>
            <w:tcW w:w="0" w:type="auto"/>
            <w:vMerge w:val="restart"/>
            <w:vAlign w:val="center"/>
          </w:tcPr>
          <w:p w14:paraId="3269380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14:paraId="099750D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антитеррористической защите объектов массового пребывания людей</w:t>
            </w:r>
          </w:p>
        </w:tc>
        <w:tc>
          <w:tcPr>
            <w:tcW w:w="0" w:type="auto"/>
            <w:vMerge w:val="restart"/>
            <w:vAlign w:val="center"/>
          </w:tcPr>
          <w:p w14:paraId="0D04277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vAlign w:val="center"/>
          </w:tcPr>
          <w:p w14:paraId="736AA2EB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vAlign w:val="center"/>
          </w:tcPr>
          <w:p w14:paraId="5CF9156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vAlign w:val="center"/>
          </w:tcPr>
          <w:p w14:paraId="5AB69FA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2B16B87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21AF3999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720DD" w:rsidRPr="00A126D4" w14:paraId="3CD1D39D" w14:textId="77777777" w:rsidTr="00C35897">
        <w:trPr>
          <w:trHeight w:val="70"/>
        </w:trPr>
        <w:tc>
          <w:tcPr>
            <w:tcW w:w="0" w:type="auto"/>
            <w:vMerge/>
            <w:vAlign w:val="center"/>
          </w:tcPr>
          <w:p w14:paraId="1764311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9BAFD4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593EED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EFB7B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vAlign w:val="center"/>
          </w:tcPr>
          <w:p w14:paraId="7642992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vAlign w:val="center"/>
          </w:tcPr>
          <w:p w14:paraId="73FAC74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76BC0C1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14:paraId="2727CC3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720DD" w:rsidRPr="00A126D4" w14:paraId="458CEA71" w14:textId="77777777" w:rsidTr="00C35897">
        <w:tc>
          <w:tcPr>
            <w:tcW w:w="0" w:type="auto"/>
            <w:gridSpan w:val="3"/>
            <w:vMerge w:val="restart"/>
          </w:tcPr>
          <w:p w14:paraId="58AFF70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0" w:type="auto"/>
            <w:vAlign w:val="center"/>
          </w:tcPr>
          <w:p w14:paraId="71A42B24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vAlign w:val="center"/>
          </w:tcPr>
          <w:p w14:paraId="42180A5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vAlign w:val="center"/>
          </w:tcPr>
          <w:p w14:paraId="2F51E55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vAlign w:val="center"/>
          </w:tcPr>
          <w:p w14:paraId="73D8928C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vAlign w:val="center"/>
          </w:tcPr>
          <w:p w14:paraId="567AF16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20DD" w:rsidRPr="00A126D4" w14:paraId="2C3AF161" w14:textId="77777777" w:rsidTr="00C35897">
        <w:trPr>
          <w:trHeight w:val="70"/>
        </w:trPr>
        <w:tc>
          <w:tcPr>
            <w:tcW w:w="0" w:type="auto"/>
            <w:gridSpan w:val="3"/>
            <w:vMerge/>
          </w:tcPr>
          <w:p w14:paraId="4A0AD6F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E529AE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vAlign w:val="center"/>
          </w:tcPr>
          <w:p w14:paraId="1E7CC64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vAlign w:val="center"/>
          </w:tcPr>
          <w:p w14:paraId="33CFC2B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vAlign w:val="center"/>
          </w:tcPr>
          <w:p w14:paraId="446D213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vAlign w:val="center"/>
          </w:tcPr>
          <w:p w14:paraId="29A14E0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14:paraId="6C4AEEBA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11B54345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1E25E8B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1451E858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254B3689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5177F2F2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01B00B34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59AA82D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D6A2761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6C75AAB3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922759B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3A06C0C2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301D9949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A8E51F1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40EA953E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026C4DC2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0FEFC3FA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C3DFFA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  <w:sectPr w:rsidR="00B720DD" w:rsidRPr="00A126D4" w:rsidSect="005C702D">
          <w:headerReference w:type="default" r:id="rId15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1856C20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>3.3. Подпрограмма 3</w:t>
      </w:r>
    </w:p>
    <w:p w14:paraId="26920C53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«Пожарная безопасность»</w:t>
      </w:r>
    </w:p>
    <w:p w14:paraId="4BEF9A01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«Обеспечения безопасности населения Няндомского </w:t>
      </w:r>
    </w:p>
    <w:p w14:paraId="41F3E7A3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муниципального округа»</w:t>
      </w:r>
    </w:p>
    <w:p w14:paraId="450A38CC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1C91F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74FD6A06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подпрограммы 3 </w:t>
      </w:r>
    </w:p>
    <w:p w14:paraId="38D95820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безопасность» </w:t>
      </w:r>
    </w:p>
    <w:p w14:paraId="0516857E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«Обеспечения безопасности населения Няндомского </w:t>
      </w:r>
    </w:p>
    <w:p w14:paraId="4C0BD949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муниципального округа»</w:t>
      </w:r>
    </w:p>
    <w:p w14:paraId="7D9BAD4B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007"/>
      </w:tblGrid>
      <w:tr w:rsidR="00B720DD" w:rsidRPr="00A126D4" w14:paraId="6CFD7E1C" w14:textId="77777777" w:rsidTr="00C35897">
        <w:trPr>
          <w:trHeight w:val="240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060A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87C6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</w:tr>
      <w:tr w:rsidR="00B720DD" w:rsidRPr="00A126D4" w14:paraId="6962D4D4" w14:textId="77777777" w:rsidTr="00C35897">
        <w:trPr>
          <w:trHeight w:val="240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E771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A9DA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МАУ РКЦ «ЖКХ»</w:t>
            </w:r>
          </w:p>
        </w:tc>
      </w:tr>
      <w:tr w:rsidR="00B720DD" w:rsidRPr="00A126D4" w14:paraId="58012C64" w14:textId="77777777" w:rsidTr="00C35897">
        <w:trPr>
          <w:trHeight w:val="240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B18B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E3E1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Няндомского муниципального округа Архангельской области, подрядные организации, выполняющие работы, предусмотренные настоящей Подпрограммой, добровольные пожарные команды регионального общественного учреждения пожарной охраны «Добровольная пожарная команда ВДПО Архангельской области», расположенные на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территории  Няндомского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население</w:t>
            </w:r>
          </w:p>
        </w:tc>
      </w:tr>
      <w:tr w:rsidR="00B720DD" w:rsidRPr="00A126D4" w14:paraId="609202B9" w14:textId="77777777" w:rsidTr="00C35897">
        <w:trPr>
          <w:trHeight w:val="240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E9B2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24AF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создание необходимых условий для укрепления пожарной безопасности, защиты жизни и здоровья граждан </w:t>
            </w:r>
          </w:p>
          <w:p w14:paraId="75A6314D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03BE4E1D" w14:textId="77777777" w:rsidR="00B720DD" w:rsidRPr="00A126D4" w:rsidRDefault="00B720DD" w:rsidP="00B720DD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 xml:space="preserve">Ремонт пожарных водоемов, пирсов и гидрантов; </w:t>
            </w:r>
          </w:p>
          <w:p w14:paraId="36C75AD2" w14:textId="77777777" w:rsidR="00B720DD" w:rsidRPr="00A126D4" w:rsidRDefault="00B720DD" w:rsidP="00B720DD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Улучшение материально-технической база ДПО;</w:t>
            </w:r>
          </w:p>
          <w:p w14:paraId="18F3EB2E" w14:textId="77777777" w:rsidR="00B720DD" w:rsidRPr="00A126D4" w:rsidRDefault="00B720DD" w:rsidP="00B720DD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Профилактическая работа по предупреждению пожаров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720DD" w:rsidRPr="00A126D4" w14:paraId="3A9CCEC4" w14:textId="77777777" w:rsidTr="00C35897">
        <w:trPr>
          <w:trHeight w:val="240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6A31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реализации подпрограммы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C4BA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 года по   31.12.2025 года</w:t>
            </w:r>
          </w:p>
        </w:tc>
      </w:tr>
      <w:tr w:rsidR="00B720DD" w:rsidRPr="00A126D4" w14:paraId="6956C3B8" w14:textId="77777777" w:rsidTr="00C35897">
        <w:trPr>
          <w:trHeight w:val="360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FBB6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Объёмы и источники финансирования </w:t>
            </w:r>
            <w:r w:rsidRPr="00A126D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подпрограммы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4C09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предусмотренных на реализацию подпрограммы – 5 289,0 тыс. рублей, в том числе средства бюджета округа 5 289,0 тыс. рублей</w:t>
            </w:r>
          </w:p>
        </w:tc>
      </w:tr>
    </w:tbl>
    <w:p w14:paraId="409F4A80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9F67A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3.3.1. Характеристика сферы реализации подпрограммы, описание основных проблем и обоснование включения в муниципальную программу</w:t>
      </w:r>
    </w:p>
    <w:p w14:paraId="45718854" w14:textId="77777777" w:rsidR="00B720DD" w:rsidRPr="00A126D4" w:rsidRDefault="00B720DD" w:rsidP="00B720D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7C879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Одним из основных факторов, дестабилизирующих социально-экономическую ситуацию и создающих угрозу жизни и здоровью граждан, являются пожары.</w:t>
      </w:r>
    </w:p>
    <w:p w14:paraId="07228827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Состояние пожарной безопасности на территории Няндомского муниципального округа вызывает серьезные опасения.</w:t>
      </w:r>
    </w:p>
    <w:p w14:paraId="52CDEA80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Наибольшая доля от общего числа пожаров приходится на здания жилого сектора и надворные постройки. Большое количество пожаров происходит в зданиях производственного назначения, государственных учреждениях и прочих объектах.</w:t>
      </w:r>
    </w:p>
    <w:p w14:paraId="40AA2264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Достаточно неблагоприятная обстановка с пожарами является следствием объективных социально – экономических условий, сложившихся на территории Няндомского муниципального округа, а именно:</w:t>
      </w:r>
    </w:p>
    <w:p w14:paraId="59F633C3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1) Жилой сектор в большей степени представлен деревянными 1-2 этажными домами с низкой противопожарной устойчивостью.</w:t>
      </w:r>
    </w:p>
    <w:p w14:paraId="552CAD16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 xml:space="preserve">2) Высокий процент ветхого, аварийного жилья, которое не только ухудшает </w:t>
      </w:r>
      <w:r w:rsidRPr="00A126D4">
        <w:rPr>
          <w:rFonts w:ascii="Times New Roman" w:hAnsi="Times New Roman" w:cs="Times New Roman"/>
          <w:sz w:val="24"/>
          <w:szCs w:val="24"/>
        </w:rPr>
        <w:lastRenderedPageBreak/>
        <w:t>внешний облик города, но и создает угрозу пожарной безопасности.</w:t>
      </w:r>
    </w:p>
    <w:p w14:paraId="2DF8F864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3) Нарушение гражданами, в основном ведущими асоциальный образ жизни, правил пожарной безопасности.</w:t>
      </w:r>
    </w:p>
    <w:p w14:paraId="435DCE2C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В настоящее время на территории Няндомского муниципального округа для целей обеспечения наружного пожаротушения имеется 147 источников водоснабжения, в том числе: 63 пожарных водоема, 75 пожарных гидрантов, 9 пожарных пирса. Часть водоемов на сегодняшний день нуждается в проведении капитального и текущего ремонта.</w:t>
      </w:r>
    </w:p>
    <w:p w14:paraId="00BB5085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Финансирование работ по проведению текущего ремонта пожарных водоемов на протяжении ряда лет осуществлялось по остаточному принципу и проводилось нерегулярно, что привело к значительному износу данных инженерных сооружений, а также негативно повлияло на пожарную безопасность жилого сектора, объектов социальной сферы и экономики округа.</w:t>
      </w:r>
    </w:p>
    <w:p w14:paraId="2D0CAC53" w14:textId="77777777" w:rsidR="00B720DD" w:rsidRPr="00A126D4" w:rsidRDefault="00B720DD" w:rsidP="00B720D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</w:rPr>
        <w:sectPr w:rsidR="00B720DD" w:rsidRPr="00A126D4" w:rsidSect="005C702D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126D4">
        <w:rPr>
          <w:rFonts w:ascii="Times New Roman" w:hAnsi="Times New Roman" w:cs="Times New Roman"/>
          <w:sz w:val="24"/>
          <w:szCs w:val="24"/>
        </w:rPr>
        <w:t xml:space="preserve">Для решения вышеуказанных проблем необходима подпрограмма, которая смогла бы объединить усилия заинтересованных структур,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эфективно</w:t>
      </w:r>
      <w:proofErr w:type="spellEnd"/>
      <w:r w:rsidRPr="00A126D4">
        <w:rPr>
          <w:rFonts w:ascii="Times New Roman" w:hAnsi="Times New Roman" w:cs="Times New Roman"/>
          <w:sz w:val="24"/>
          <w:szCs w:val="24"/>
        </w:rPr>
        <w:t xml:space="preserve"> подойти к вопросам финансирования.</w:t>
      </w:r>
    </w:p>
    <w:p w14:paraId="5A3BB3DC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126D4">
        <w:rPr>
          <w:rFonts w:ascii="Times New Roman" w:hAnsi="Times New Roman" w:cs="Times New Roman"/>
          <w:b/>
          <w:color w:val="000000"/>
        </w:rPr>
        <w:lastRenderedPageBreak/>
        <w:t>3.3.2. ПЕРЕЧЕНЬ МЕРОПРИЯТИЙ</w:t>
      </w:r>
    </w:p>
    <w:p w14:paraId="3F6FDDBE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подпрограммы 3 «Пожарная безопасность» </w:t>
      </w:r>
    </w:p>
    <w:p w14:paraId="419AA9E0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безопасности населения</w:t>
      </w:r>
      <w:r w:rsidRPr="00A126D4">
        <w:rPr>
          <w:rFonts w:ascii="Times New Roman" w:hAnsi="Times New Roman" w:cs="Times New Roman"/>
        </w:rPr>
        <w:t xml:space="preserve"> </w:t>
      </w:r>
      <w:r w:rsidRPr="00A126D4">
        <w:rPr>
          <w:rFonts w:ascii="Times New Roman" w:hAnsi="Times New Roman" w:cs="Times New Roman"/>
          <w:b/>
          <w:sz w:val="24"/>
          <w:szCs w:val="24"/>
        </w:rPr>
        <w:t>Няндомского муниципального округа»</w:t>
      </w:r>
    </w:p>
    <w:p w14:paraId="6573C6C5" w14:textId="77777777" w:rsidR="00B720DD" w:rsidRPr="00A126D4" w:rsidRDefault="00B720DD" w:rsidP="00B720DD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041"/>
        <w:gridCol w:w="2761"/>
        <w:gridCol w:w="2425"/>
        <w:gridCol w:w="862"/>
        <w:gridCol w:w="983"/>
        <w:gridCol w:w="983"/>
        <w:gridCol w:w="983"/>
      </w:tblGrid>
      <w:tr w:rsidR="00B720DD" w:rsidRPr="00A126D4" w14:paraId="19AB7A28" w14:textId="77777777" w:rsidTr="00C35897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6FF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84D6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CB20" w14:textId="77777777" w:rsidR="00B720DD" w:rsidRPr="00A126D4" w:rsidRDefault="00B720DD" w:rsidP="00C35897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6C1C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2DB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720DD" w:rsidRPr="00A126D4" w14:paraId="2E8FEA32" w14:textId="77777777" w:rsidTr="00C35897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1E9B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047E" w14:textId="77777777" w:rsidR="00B720DD" w:rsidRPr="00A126D4" w:rsidRDefault="00B720DD" w:rsidP="00C35897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03A2" w14:textId="77777777" w:rsidR="00B720DD" w:rsidRPr="00A126D4" w:rsidRDefault="00B720DD" w:rsidP="00C35897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17A1" w14:textId="77777777" w:rsidR="00B720DD" w:rsidRPr="00A126D4" w:rsidRDefault="00B720DD" w:rsidP="00C35897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215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62F1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7FB6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198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720DD" w:rsidRPr="00A126D4" w14:paraId="2168A077" w14:textId="77777777" w:rsidTr="00C3589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2C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922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A8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A6C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644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BEA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C63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18B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20DD" w:rsidRPr="00A126D4" w14:paraId="5BA2E0A6" w14:textId="77777777" w:rsidTr="00C35897">
        <w:trPr>
          <w:trHeight w:val="21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C99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создание необходимых условий для укрепления пожарной безопасности, защиты жизни и здоровья граждан </w:t>
            </w:r>
          </w:p>
        </w:tc>
      </w:tr>
      <w:tr w:rsidR="00B720DD" w:rsidRPr="00A126D4" w14:paraId="686A7826" w14:textId="77777777" w:rsidTr="00C35897">
        <w:trPr>
          <w:trHeight w:val="22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9F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Ремонт пожарных водоемов, пирсов и гидрантов</w:t>
            </w:r>
          </w:p>
        </w:tc>
      </w:tr>
      <w:tr w:rsidR="00B720DD" w:rsidRPr="00A126D4" w14:paraId="4D1C0E45" w14:textId="77777777" w:rsidTr="00C35897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0307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FCC7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Устройство (ремонт) пожарных водоемов, пирсов и гидрантов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7515B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МР, МАУ «РКЦ 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687E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A794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1B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787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40E2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</w:tr>
      <w:tr w:rsidR="00B720DD" w:rsidRPr="00A126D4" w14:paraId="72F48305" w14:textId="77777777" w:rsidTr="00C35897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C43AF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D698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B7BC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656A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D3D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CD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E4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AB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</w:tr>
      <w:tr w:rsidR="00B720DD" w:rsidRPr="00A126D4" w14:paraId="7DEAA4CD" w14:textId="77777777" w:rsidTr="00C35897">
        <w:trPr>
          <w:trHeight w:val="7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B8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– Улучшение материально-технической база ДПО</w:t>
            </w:r>
          </w:p>
        </w:tc>
      </w:tr>
      <w:tr w:rsidR="00B720DD" w:rsidRPr="00A126D4" w14:paraId="1367BD95" w14:textId="77777777" w:rsidTr="00C35897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421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0CE7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855513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ДПО, содержание помещений, пожарной машины ЗИЛ-131 АРС, пожарных мотопомп и пожарного имущества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E6D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8A2C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8450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21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C52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CB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720DD" w:rsidRPr="00A126D4" w14:paraId="6F434B69" w14:textId="77777777" w:rsidTr="00C3589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A9B7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7E0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97A2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F40C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429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A70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796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3191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720DD" w:rsidRPr="00A126D4" w14:paraId="33129762" w14:textId="77777777" w:rsidTr="00C35897">
        <w:trPr>
          <w:trHeight w:val="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CC8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3 – Профилактическая работа по предупреждению пожаров</w:t>
            </w:r>
          </w:p>
        </w:tc>
      </w:tr>
      <w:tr w:rsidR="00B720DD" w:rsidRPr="00A126D4" w14:paraId="71FB90AD" w14:textId="77777777" w:rsidTr="00C35897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635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F6A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населенных пунктов от 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минерализованных полос)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A25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A6A3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914E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523A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C55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AB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720DD" w:rsidRPr="00A126D4" w14:paraId="6566A409" w14:textId="77777777" w:rsidTr="00C3589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29A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EE3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366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7057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7CBE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54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268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F6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720DD" w:rsidRPr="00A126D4" w14:paraId="1737C85A" w14:textId="77777777" w:rsidTr="00C35897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FDCC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0978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91843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9BF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4233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1E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269F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DA2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62DB5B73" w14:textId="77777777" w:rsidTr="00C3589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D68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A480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A9D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013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C5F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FB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159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81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03F85014" w14:textId="77777777" w:rsidTr="00C35897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02FD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BFAB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DFE86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6119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731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6FC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6A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35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720DD" w:rsidRPr="00A126D4" w14:paraId="51B0B041" w14:textId="77777777" w:rsidTr="00C35897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4D6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4112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EFE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EFD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C26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1848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7120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B2D7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720DD" w:rsidRPr="00A126D4" w14:paraId="649C4BD2" w14:textId="77777777" w:rsidTr="00C35897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98C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40F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Оснащение населения АДПИ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17B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6B6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EEF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737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48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584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720DD" w:rsidRPr="00A126D4" w14:paraId="7FFCB051" w14:textId="77777777" w:rsidTr="00C3589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B372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56D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4EB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61E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60CA" w14:textId="77777777" w:rsidR="00B720DD" w:rsidRPr="00A126D4" w:rsidRDefault="00B720DD" w:rsidP="00C35897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F7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EF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34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720DD" w:rsidRPr="00A126D4" w14:paraId="138BA50D" w14:textId="77777777" w:rsidTr="00C35897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05215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E1A6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50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8EA2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11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DFAD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B720DD" w:rsidRPr="00A126D4" w14:paraId="3EB3B972" w14:textId="77777777" w:rsidTr="00C35897">
        <w:trPr>
          <w:trHeight w:val="70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795D9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9387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8E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3F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FB2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AEE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</w:tbl>
    <w:p w14:paraId="0FDE28FA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  <w:sectPr w:rsidR="00B720DD" w:rsidRPr="00A126D4" w:rsidSect="005C702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8D6BB23" w14:textId="77777777" w:rsidR="00B720DD" w:rsidRPr="00A126D4" w:rsidRDefault="00B720DD" w:rsidP="00B720DD">
      <w:pPr>
        <w:pStyle w:val="ConsPlusNormal"/>
        <w:widowControl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4</w:t>
      </w:r>
    </w:p>
    <w:p w14:paraId="40D61005" w14:textId="77777777" w:rsidR="00B720DD" w:rsidRPr="00A126D4" w:rsidRDefault="00B720DD" w:rsidP="00B720DD">
      <w:pPr>
        <w:pStyle w:val="ConsPlusNormal"/>
        <w:widowControl/>
        <w:ind w:left="7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«Безопасность людей на водных объектах»</w:t>
      </w:r>
    </w:p>
    <w:p w14:paraId="6F3175A4" w14:textId="77777777" w:rsidR="00B720DD" w:rsidRPr="00A126D4" w:rsidRDefault="00B720DD" w:rsidP="00B720D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«Обеспечения безопасности населения Няндомского муниципального округа»</w:t>
      </w:r>
    </w:p>
    <w:p w14:paraId="577B0F03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BB870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1DF6C11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подпрограммы 4</w:t>
      </w:r>
    </w:p>
    <w:p w14:paraId="134197AE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 «Безопасность людей на водных объектах»</w:t>
      </w:r>
    </w:p>
    <w:p w14:paraId="566496F9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безопасности населения</w:t>
      </w:r>
      <w:r w:rsidRPr="00A126D4">
        <w:rPr>
          <w:rFonts w:ascii="Times New Roman" w:hAnsi="Times New Roman" w:cs="Times New Roman"/>
        </w:rPr>
        <w:t xml:space="preserve"> </w:t>
      </w:r>
      <w:r w:rsidRPr="00A126D4">
        <w:rPr>
          <w:rFonts w:ascii="Times New Roman" w:hAnsi="Times New Roman" w:cs="Times New Roman"/>
          <w:b/>
          <w:sz w:val="24"/>
          <w:szCs w:val="24"/>
        </w:rPr>
        <w:t>Няндомского муниципального округа»</w:t>
      </w:r>
    </w:p>
    <w:p w14:paraId="6C00A11A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595"/>
      </w:tblGrid>
      <w:tr w:rsidR="00B720DD" w:rsidRPr="00A126D4" w14:paraId="7FB7916F" w14:textId="77777777" w:rsidTr="00C35897">
        <w:trPr>
          <w:trHeight w:val="24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9B2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1731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</w:tr>
      <w:tr w:rsidR="00B720DD" w:rsidRPr="00A126D4" w14:paraId="28E8E786" w14:textId="77777777" w:rsidTr="00C35897">
        <w:trPr>
          <w:trHeight w:val="24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38F9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86CA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B720DD" w:rsidRPr="00A126D4" w14:paraId="5AAABCE2" w14:textId="77777777" w:rsidTr="00C35897">
        <w:trPr>
          <w:trHeight w:val="24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C7FD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F340" w14:textId="77777777" w:rsidR="00B720DD" w:rsidRPr="00A126D4" w:rsidRDefault="00B720DD" w:rsidP="00C3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Няндомского муниципального округа Архангельской области, подрядные организации, выполняющие работы, предусмотренные настоящей подпрограммой, население Няндомского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 МАУ «РКЦ ЖКХ».</w:t>
            </w:r>
          </w:p>
        </w:tc>
      </w:tr>
      <w:tr w:rsidR="00B720DD" w:rsidRPr="00A126D4" w14:paraId="7934BC60" w14:textId="77777777" w:rsidTr="00C35897">
        <w:trPr>
          <w:trHeight w:val="24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13C0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8AEF" w14:textId="77777777" w:rsidR="00B720DD" w:rsidRPr="00A126D4" w:rsidRDefault="00B720DD" w:rsidP="00C35897">
            <w:pPr>
              <w:pStyle w:val="ConsPlusNormal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  <w:p w14:paraId="1D5DD907" w14:textId="77777777" w:rsidR="00B720DD" w:rsidRPr="00A126D4" w:rsidRDefault="00B720DD" w:rsidP="00C35897">
            <w:pPr>
              <w:pStyle w:val="ConsPlusNormal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45BB218" w14:textId="77777777" w:rsidR="00B720DD" w:rsidRPr="00A126D4" w:rsidRDefault="00B720DD" w:rsidP="00B720DD">
            <w:pPr>
              <w:pStyle w:val="a5"/>
              <w:numPr>
                <w:ilvl w:val="0"/>
                <w:numId w:val="12"/>
              </w:numPr>
              <w:tabs>
                <w:tab w:val="left" w:pos="2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Подготовка мест массового пребывания людей на водных объектах с целью обеспечения их безопасности, охраны жизни и здоровья;</w:t>
            </w:r>
          </w:p>
          <w:p w14:paraId="3CCC004F" w14:textId="77777777" w:rsidR="00B720DD" w:rsidRPr="00A126D4" w:rsidRDefault="00B720DD" w:rsidP="00B720DD">
            <w:pPr>
              <w:pStyle w:val="a5"/>
              <w:numPr>
                <w:ilvl w:val="0"/>
                <w:numId w:val="12"/>
              </w:numPr>
              <w:tabs>
                <w:tab w:val="left" w:pos="2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rFonts w:eastAsia="Arial"/>
                <w:sz w:val="24"/>
                <w:szCs w:val="24"/>
              </w:rPr>
              <w:t>Распространение наглядной агитации для населения.</w:t>
            </w:r>
          </w:p>
        </w:tc>
      </w:tr>
      <w:tr w:rsidR="00B720DD" w:rsidRPr="00A126D4" w14:paraId="60F7FE68" w14:textId="77777777" w:rsidTr="00C35897">
        <w:trPr>
          <w:trHeight w:val="24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9B5E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65F3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 01.01.2023 года по 31.12.2025 года</w:t>
            </w:r>
          </w:p>
        </w:tc>
      </w:tr>
      <w:tr w:rsidR="00B720DD" w:rsidRPr="00A126D4" w14:paraId="7B354E53" w14:textId="77777777" w:rsidTr="00C35897">
        <w:trPr>
          <w:trHeight w:val="36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C189" w14:textId="77777777" w:rsidR="00B720DD" w:rsidRPr="00A126D4" w:rsidRDefault="00B720DD" w:rsidP="00C3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Объёмы и источники финансирования </w:t>
            </w:r>
            <w:r w:rsidRPr="00A126D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подпрограммы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71DE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предусмотренных на реализацию подпрограммы – 900,0 тыс. рублей, в том числе средства бюджета округа – 900,0 тыс. рублей</w:t>
            </w:r>
          </w:p>
        </w:tc>
      </w:tr>
    </w:tbl>
    <w:p w14:paraId="470ACFF2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85241" w14:textId="77777777" w:rsidR="00B720DD" w:rsidRPr="00A126D4" w:rsidRDefault="00B720DD" w:rsidP="00B720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5.4.1. Характеристика сферы реализации подпрограммы, описание основных проблем и обоснование включения в муниципальную программу</w:t>
      </w:r>
    </w:p>
    <w:p w14:paraId="79D84B32" w14:textId="77777777" w:rsidR="00B720DD" w:rsidRPr="00A126D4" w:rsidRDefault="00B720DD" w:rsidP="00B720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9B738" w14:textId="77777777" w:rsidR="00B720DD" w:rsidRPr="00A126D4" w:rsidRDefault="00B720DD" w:rsidP="00B72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 Осуществление мероприятий по обеспечению безопасности людей на водных объектах, охране их жизни и здоровья является важным фактором устойчивого социально-экономического развития Няндомского муниципального округа.</w:t>
      </w:r>
    </w:p>
    <w:p w14:paraId="4A86DB80" w14:textId="77777777" w:rsidR="00B720DD" w:rsidRPr="00A126D4" w:rsidRDefault="00B720DD" w:rsidP="00B72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С учетом реально сложившейся экономической обстановки, природно-климатических особенностей и социально-экономического положения населения, решение задачи по созданию условий для наиболее полного, комфортного и безопасного пребывания граждан в местах массового отдыха на водных объектах Няндомского муниципального округа возможно только программно-целевым методом.</w:t>
      </w:r>
    </w:p>
    <w:p w14:paraId="329F9697" w14:textId="77777777" w:rsidR="00B720DD" w:rsidRPr="00A126D4" w:rsidRDefault="00B720DD" w:rsidP="00B72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позволит сконцентрировать выделение финансовых средств на выполнении конкретных мероприятий.</w:t>
      </w:r>
    </w:p>
    <w:p w14:paraId="2F60F792" w14:textId="77777777" w:rsidR="00B720DD" w:rsidRPr="003613FB" w:rsidRDefault="00B720DD" w:rsidP="00B72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720DD" w:rsidRPr="003613FB" w:rsidSect="005C702D">
          <w:headerReference w:type="default" r:id="rId17"/>
          <w:pgSz w:w="11906" w:h="16838"/>
          <w:pgMar w:top="1134" w:right="851" w:bottom="1134" w:left="1701" w:header="573" w:footer="567" w:gutter="0"/>
          <w:cols w:space="720"/>
          <w:docGrid w:linePitch="360"/>
        </w:sectPr>
      </w:pPr>
      <w:r w:rsidRPr="00A126D4">
        <w:rPr>
          <w:rFonts w:ascii="Times New Roman" w:hAnsi="Times New Roman" w:cs="Times New Roman"/>
          <w:sz w:val="24"/>
          <w:szCs w:val="24"/>
        </w:rPr>
        <w:t xml:space="preserve">Настоящая подпрограмма рассчитана на поэтапное решение вышеуказанных проблем </w:t>
      </w:r>
      <w:r w:rsidRPr="00A126D4">
        <w:rPr>
          <w:rFonts w:ascii="Times New Roman" w:hAnsi="Times New Roman" w:cs="Times New Roman"/>
          <w:sz w:val="24"/>
          <w:szCs w:val="24"/>
        </w:rPr>
        <w:lastRenderedPageBreak/>
        <w:t>и содержит перечень мероприятий, при реализации которых в ближайшие годы будут созданы безопасные условия пребывания людей в местах массового отдыха населения на водных объектах Няндомского муниципального округа.</w:t>
      </w:r>
    </w:p>
    <w:p w14:paraId="36067847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3.4.3. ПЕРЕЧЕНЬ МЕРОПРИЯТИЙ </w:t>
      </w:r>
    </w:p>
    <w:p w14:paraId="31410646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подпрограммы 4 «Безопасность людей на водных объектах» </w:t>
      </w:r>
    </w:p>
    <w:p w14:paraId="269A7409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«Обеспечение безопасности населения </w:t>
      </w:r>
      <w:r w:rsidRPr="00A126D4">
        <w:rPr>
          <w:rFonts w:ascii="Times New Roman" w:hAnsi="Times New Roman" w:cs="Times New Roman"/>
          <w:b/>
          <w:color w:val="000000"/>
        </w:rPr>
        <w:t>Няндомского муниципального округа</w:t>
      </w:r>
      <w:r w:rsidRPr="00A126D4">
        <w:rPr>
          <w:rFonts w:ascii="Times New Roman" w:hAnsi="Times New Roman" w:cs="Times New Roman"/>
          <w:b/>
          <w:sz w:val="24"/>
          <w:szCs w:val="24"/>
        </w:rPr>
        <w:t>»</w:t>
      </w:r>
    </w:p>
    <w:p w14:paraId="0E62577D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196"/>
        <w:gridCol w:w="2923"/>
        <w:gridCol w:w="2482"/>
        <w:gridCol w:w="819"/>
        <w:gridCol w:w="869"/>
        <w:gridCol w:w="869"/>
        <w:gridCol w:w="869"/>
      </w:tblGrid>
      <w:tr w:rsidR="00B720DD" w:rsidRPr="00A126D4" w14:paraId="6807150C" w14:textId="77777777" w:rsidTr="00C35897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FE32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AF4F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6050" w14:textId="77777777" w:rsidR="00B720DD" w:rsidRPr="00A126D4" w:rsidRDefault="00B720DD" w:rsidP="00C35897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исполнитель</w:t>
            </w:r>
            <w:proofErr w:type="gramEnd"/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A538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2C1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720DD" w:rsidRPr="00A126D4" w14:paraId="2371E6A9" w14:textId="77777777" w:rsidTr="00C35897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5655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E714" w14:textId="77777777" w:rsidR="00B720DD" w:rsidRPr="00A126D4" w:rsidRDefault="00B720DD" w:rsidP="00C35897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A8D5" w14:textId="77777777" w:rsidR="00B720DD" w:rsidRPr="00A126D4" w:rsidRDefault="00B720DD" w:rsidP="00C35897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C08E" w14:textId="77777777" w:rsidR="00B720DD" w:rsidRPr="00A126D4" w:rsidRDefault="00B720DD" w:rsidP="00C35897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4D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1E53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B6E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40E" w14:textId="77777777" w:rsidR="00B720DD" w:rsidRPr="00A126D4" w:rsidRDefault="00B720DD" w:rsidP="00C3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720DD" w:rsidRPr="00A126D4" w14:paraId="382E919B" w14:textId="77777777" w:rsidTr="00C3589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B89C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22F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60C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CCA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DCD7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15B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3597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B939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20DD" w:rsidRPr="00A126D4" w14:paraId="7C139F62" w14:textId="77777777" w:rsidTr="00C35897">
        <w:trPr>
          <w:trHeight w:val="11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F3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B720DD" w:rsidRPr="00A126D4" w14:paraId="1710B0D4" w14:textId="77777777" w:rsidTr="00C35897">
        <w:trPr>
          <w:trHeight w:val="24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65E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Подготовка мест массового пребывания людей на водных объектах с целью обеспечения их безопасности, охраны жизни и здоровья</w:t>
            </w:r>
          </w:p>
        </w:tc>
      </w:tr>
      <w:tr w:rsidR="00B720DD" w:rsidRPr="00A126D4" w14:paraId="57B9A25F" w14:textId="77777777" w:rsidTr="00C35897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814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0A3" w14:textId="77777777" w:rsidR="00B720DD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Устройство мест отдыха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487A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490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3099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BE3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E70C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7A4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AC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720DD" w:rsidRPr="00A126D4" w14:paraId="0FC7B5A4" w14:textId="77777777" w:rsidTr="00C3589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0B8E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EF6C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DBDA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F6F6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211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F5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91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DE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720DD" w:rsidRPr="00A126D4" w14:paraId="458F2890" w14:textId="77777777" w:rsidTr="00C35897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0113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082F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852839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Обследование государственным органом санитарно-эпидемиологического надзора территорий мест отдыха людей на водных объектах</w:t>
            </w:r>
            <w:bookmarkEnd w:id="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DDAC8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8C9D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272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48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C47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12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20DD" w:rsidRPr="00A126D4" w14:paraId="5CE5B581" w14:textId="77777777" w:rsidTr="00C3589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40597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72D33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DD1F8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0C21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438D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1E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1B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F7A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20DD" w:rsidRPr="00A126D4" w14:paraId="535A2801" w14:textId="77777777" w:rsidTr="00C35897">
        <w:trPr>
          <w:trHeight w:val="31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F05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– Распространение наглядной агитации для населения</w:t>
            </w:r>
          </w:p>
        </w:tc>
      </w:tr>
      <w:tr w:rsidR="00B720DD" w:rsidRPr="00A126D4" w14:paraId="6A34CC3B" w14:textId="77777777" w:rsidTr="00C35897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B80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7ED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знаков наглядной агитации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4E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4D8B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716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D07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C1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E4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42E83273" w14:textId="77777777" w:rsidTr="00C3589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DAFD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D06F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18D4" w14:textId="77777777" w:rsidR="00B720DD" w:rsidRPr="00A126D4" w:rsidRDefault="00B720DD" w:rsidP="00C35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14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35F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AB1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5059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B1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20DD" w:rsidRPr="00A126D4" w14:paraId="290C35D8" w14:textId="77777777" w:rsidTr="00C35897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44AD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EAC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318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81A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20B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63E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20DD" w:rsidRPr="00A126D4" w14:paraId="44566266" w14:textId="77777777" w:rsidTr="00C35897">
        <w:trPr>
          <w:trHeight w:val="70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9E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9C55" w14:textId="77777777" w:rsidR="00B720DD" w:rsidRPr="00A126D4" w:rsidRDefault="00B720DD" w:rsidP="00C35897">
            <w:pPr>
              <w:pStyle w:val="ae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6E08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D3D6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BC04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849" w14:textId="77777777" w:rsidR="00B720DD" w:rsidRPr="00A126D4" w:rsidRDefault="00B720DD" w:rsidP="00C3589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14:paraId="4109C0A4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2E30286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088A9C3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48977E3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6D1B91A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66B71254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1847125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9971D58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354DAA5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7F8C7856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4AF165F1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29E09B34" w14:textId="77777777" w:rsidR="00B720DD" w:rsidRPr="00A126D4" w:rsidRDefault="00B720DD" w:rsidP="00B720DD">
      <w:pPr>
        <w:spacing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28AEECC3" w14:textId="77777777" w:rsidR="00B720DD" w:rsidRPr="00A126D4" w:rsidRDefault="00B720DD" w:rsidP="00B720DD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  <w:sectPr w:rsidR="00B720DD" w:rsidRPr="00A126D4" w:rsidSect="005C702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9BDCAA2" w14:textId="77777777" w:rsidR="00B720DD" w:rsidRPr="00A126D4" w:rsidRDefault="00B720DD" w:rsidP="00B720DD">
      <w:pPr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11381DD" w14:textId="77777777" w:rsidR="00B720DD" w:rsidRPr="00A126D4" w:rsidRDefault="00B720DD" w:rsidP="00B720DD">
      <w:pPr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126D4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Pr="00A126D4">
        <w:rPr>
          <w:rFonts w:ascii="Times New Roman" w:hAnsi="Times New Roman" w:cs="Times New Roman"/>
          <w:color w:val="000000"/>
          <w:sz w:val="24"/>
          <w:szCs w:val="24"/>
        </w:rPr>
        <w:t>«Обеспечение безопасности населения Няндомского муниципального округа»</w:t>
      </w:r>
    </w:p>
    <w:p w14:paraId="4469F365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AB4A0D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449ED3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6D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14:paraId="388DF725" w14:textId="77777777" w:rsidR="00B720DD" w:rsidRPr="00A126D4" w:rsidRDefault="00B720DD" w:rsidP="00B720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методике расчета целевых показателей и источниках информации о значениях целевых показателей муниципальной программы </w:t>
      </w:r>
    </w:p>
    <w:p w14:paraId="394F0EE6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D4">
        <w:rPr>
          <w:rFonts w:ascii="Times New Roman" w:hAnsi="Times New Roman" w:cs="Times New Roman"/>
          <w:b/>
          <w:sz w:val="24"/>
          <w:szCs w:val="24"/>
        </w:rPr>
        <w:t>«Обеспечение безопасности населения Няндомского муниципального округа»</w:t>
      </w:r>
    </w:p>
    <w:p w14:paraId="28FB59D5" w14:textId="77777777" w:rsidR="00B720DD" w:rsidRPr="00A126D4" w:rsidRDefault="00B720DD" w:rsidP="00B720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319"/>
        <w:gridCol w:w="2822"/>
      </w:tblGrid>
      <w:tr w:rsidR="00B720DD" w:rsidRPr="00A126D4" w14:paraId="29618B72" w14:textId="77777777" w:rsidTr="00C35897">
        <w:trPr>
          <w:tblHeader/>
          <w:jc w:val="center"/>
        </w:trPr>
        <w:tc>
          <w:tcPr>
            <w:tcW w:w="3528" w:type="dxa"/>
            <w:shd w:val="clear" w:color="auto" w:fill="auto"/>
          </w:tcPr>
          <w:p w14:paraId="4DB216C5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программы,</w:t>
            </w:r>
          </w:p>
          <w:p w14:paraId="44206DF7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shd w:val="clear" w:color="auto" w:fill="auto"/>
          </w:tcPr>
          <w:p w14:paraId="2B2773E0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958" w:type="dxa"/>
            <w:shd w:val="clear" w:color="auto" w:fill="auto"/>
          </w:tcPr>
          <w:p w14:paraId="2395155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B720DD" w:rsidRPr="00A126D4" w14:paraId="15F336F2" w14:textId="77777777" w:rsidTr="00C35897">
        <w:trPr>
          <w:trHeight w:val="326"/>
          <w:tblHeader/>
          <w:jc w:val="center"/>
        </w:trPr>
        <w:tc>
          <w:tcPr>
            <w:tcW w:w="3528" w:type="dxa"/>
            <w:shd w:val="clear" w:color="auto" w:fill="auto"/>
          </w:tcPr>
          <w:p w14:paraId="1E2F552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8E2909D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14:paraId="46D2898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20DD" w:rsidRPr="00A126D4" w14:paraId="57993586" w14:textId="77777777" w:rsidTr="00C35897">
        <w:trPr>
          <w:trHeight w:val="217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2E8FA427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 Няндомского муниципального округа»</w:t>
            </w:r>
          </w:p>
        </w:tc>
      </w:tr>
      <w:tr w:rsidR="00B720DD" w:rsidRPr="00A126D4" w14:paraId="46D6FE80" w14:textId="77777777" w:rsidTr="00C35897">
        <w:trPr>
          <w:trHeight w:val="217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2BA728DA" w14:textId="77777777" w:rsidR="00B720DD" w:rsidRPr="00A126D4" w:rsidRDefault="00B720DD" w:rsidP="00C35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программы 1- Снижение рисков возникновения чрезвычайных ситуаций мирного и военного времени</w:t>
            </w:r>
          </w:p>
        </w:tc>
      </w:tr>
      <w:tr w:rsidR="00B720DD" w:rsidRPr="00A126D4" w14:paraId="73E15C75" w14:textId="77777777" w:rsidTr="00C35897">
        <w:trPr>
          <w:trHeight w:val="114"/>
          <w:jc w:val="center"/>
        </w:trPr>
        <w:tc>
          <w:tcPr>
            <w:tcW w:w="3528" w:type="dxa"/>
            <w:shd w:val="clear" w:color="auto" w:fill="auto"/>
          </w:tcPr>
          <w:p w14:paraId="40EE3D0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ЕДДС согласно ГОСТ Р 22.7.01-2021, %</w:t>
            </w:r>
          </w:p>
        </w:tc>
        <w:tc>
          <w:tcPr>
            <w:tcW w:w="3685" w:type="dxa"/>
            <w:shd w:val="clear" w:color="auto" w:fill="auto"/>
          </w:tcPr>
          <w:p w14:paraId="0EA82F2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установленных технических средств в ЕДДС на конец отчетного периода к общему числу необходимых технических средств ЕДДС согласно ГОСТ Р 22.7.01-2021 * 100%</w:t>
            </w:r>
          </w:p>
        </w:tc>
        <w:tc>
          <w:tcPr>
            <w:tcW w:w="2958" w:type="dxa"/>
            <w:shd w:val="clear" w:color="auto" w:fill="auto"/>
          </w:tcPr>
          <w:p w14:paraId="6525BD70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ведомость, акт приема-передачи имущества, положение ЕДДС (ГОСТ Р 22.7.01-2021)</w:t>
            </w:r>
          </w:p>
        </w:tc>
      </w:tr>
      <w:tr w:rsidR="00B720DD" w:rsidRPr="00A126D4" w14:paraId="7D5E0028" w14:textId="77777777" w:rsidTr="00C35897">
        <w:trPr>
          <w:trHeight w:val="2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27A4EE7D" w14:textId="77777777" w:rsidR="00B720DD" w:rsidRPr="00A126D4" w:rsidRDefault="00B720DD" w:rsidP="00C35897">
            <w:pPr>
              <w:pStyle w:val="ConsPlusNormal"/>
              <w:widowControl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программы 2 - Создание условий для комплексной антитеррористической защищённости в Няндомском муниципальном округе</w:t>
            </w:r>
          </w:p>
        </w:tc>
      </w:tr>
      <w:tr w:rsidR="00B720DD" w:rsidRPr="00A126D4" w14:paraId="60328F1E" w14:textId="77777777" w:rsidTr="00C35897">
        <w:trPr>
          <w:trHeight w:val="1114"/>
          <w:jc w:val="center"/>
        </w:trPr>
        <w:tc>
          <w:tcPr>
            <w:tcW w:w="3528" w:type="dxa"/>
            <w:shd w:val="clear" w:color="auto" w:fill="auto"/>
          </w:tcPr>
          <w:p w14:paraId="1A38FB11" w14:textId="77777777" w:rsidR="00B720DD" w:rsidRPr="00A126D4" w:rsidRDefault="00B720DD" w:rsidP="00C35897">
            <w:pPr>
              <w:pStyle w:val="ConsPlusNormal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изданных информационных буклетов, листовок, опубликованных материалов по пропаганде антитеррористической направленности, единиц </w:t>
            </w:r>
          </w:p>
        </w:tc>
        <w:tc>
          <w:tcPr>
            <w:tcW w:w="3685" w:type="dxa"/>
            <w:shd w:val="clear" w:color="auto" w:fill="auto"/>
          </w:tcPr>
          <w:p w14:paraId="17046A75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информационных буклетов, листовок, стендов наглядной агитации, опубликованных материалов по пропаганде антитеррористической направленности за отчетный период</w:t>
            </w:r>
          </w:p>
        </w:tc>
        <w:tc>
          <w:tcPr>
            <w:tcW w:w="2958" w:type="dxa"/>
            <w:shd w:val="clear" w:color="auto" w:fill="auto"/>
          </w:tcPr>
          <w:p w14:paraId="1F74D596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информационных материалов, счета-фактуры, договоры на поставку товаров, информационно-аналитическая справка о выполнении плана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работы  антитеррористической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B720DD" w:rsidRPr="00A126D4" w14:paraId="10A8B961" w14:textId="77777777" w:rsidTr="00C35897">
        <w:trPr>
          <w:trHeight w:val="258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0EA95183" w14:textId="77777777" w:rsidR="00B720DD" w:rsidRPr="00A126D4" w:rsidRDefault="00B720DD" w:rsidP="00C35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программы 3 - Создание необходимых условий для укрепления пожарной безопасности, защиты жизни и здоровья граждан</w:t>
            </w:r>
          </w:p>
        </w:tc>
      </w:tr>
      <w:tr w:rsidR="00B720DD" w:rsidRPr="00A126D4" w14:paraId="01EDFEC7" w14:textId="77777777" w:rsidTr="00C35897">
        <w:trPr>
          <w:trHeight w:val="201"/>
          <w:jc w:val="center"/>
        </w:trPr>
        <w:tc>
          <w:tcPr>
            <w:tcW w:w="3528" w:type="dxa"/>
            <w:shd w:val="clear" w:color="auto" w:fill="auto"/>
          </w:tcPr>
          <w:p w14:paraId="33DC66DA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запланированного комплекса мероприятий, направленного на повышение безопасности населенных пунктов от лесных пожаров, %</w:t>
            </w:r>
          </w:p>
        </w:tc>
        <w:tc>
          <w:tcPr>
            <w:tcW w:w="3685" w:type="dxa"/>
            <w:shd w:val="clear" w:color="auto" w:fill="auto"/>
          </w:tcPr>
          <w:p w14:paraId="29627DE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оснащение населенных пунктов минерализованными полосами за отчетный период к запланированному объему работ по оснащению населенных пунктов минерализованными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полосами на отчетный период х 100% </w:t>
            </w:r>
          </w:p>
        </w:tc>
        <w:tc>
          <w:tcPr>
            <w:tcW w:w="2958" w:type="dxa"/>
            <w:shd w:val="clear" w:color="auto" w:fill="auto"/>
          </w:tcPr>
          <w:p w14:paraId="4284F66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населенных пунктов подверженных угрозе лесных пожаров, акты приемки работ, договоры</w:t>
            </w:r>
          </w:p>
        </w:tc>
      </w:tr>
      <w:tr w:rsidR="00B720DD" w:rsidRPr="00A126D4" w14:paraId="0369B9FF" w14:textId="77777777" w:rsidTr="00C35897">
        <w:trPr>
          <w:trHeight w:val="217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2253C999" w14:textId="77777777" w:rsidR="00B720DD" w:rsidRPr="00A126D4" w:rsidRDefault="00B720DD" w:rsidP="00C35897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программы 4 - Создание условий для наиболее полного, комфортного и безопасного пребывания граждан в местах массового отдыха на водных объектах</w:t>
            </w:r>
          </w:p>
        </w:tc>
      </w:tr>
      <w:tr w:rsidR="00B720DD" w:rsidRPr="00A126D4" w14:paraId="7468E058" w14:textId="77777777" w:rsidTr="00C35897">
        <w:trPr>
          <w:trHeight w:val="232"/>
          <w:jc w:val="center"/>
        </w:trPr>
        <w:tc>
          <w:tcPr>
            <w:tcW w:w="3528" w:type="dxa"/>
            <w:shd w:val="clear" w:color="auto" w:fill="auto"/>
          </w:tcPr>
          <w:p w14:paraId="0A1113BA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стендов, знаков по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воде, единиц </w:t>
            </w:r>
          </w:p>
        </w:tc>
        <w:tc>
          <w:tcPr>
            <w:tcW w:w="3685" w:type="dxa"/>
            <w:shd w:val="clear" w:color="auto" w:fill="auto"/>
          </w:tcPr>
          <w:p w14:paraId="4C2E80DD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установленных стендов, знаков по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воде за отчетный период</w:t>
            </w:r>
          </w:p>
        </w:tc>
        <w:tc>
          <w:tcPr>
            <w:tcW w:w="2958" w:type="dxa"/>
            <w:shd w:val="clear" w:color="auto" w:fill="auto"/>
          </w:tcPr>
          <w:p w14:paraId="2F128444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План безопасности на водных объектах</w:t>
            </w:r>
          </w:p>
        </w:tc>
      </w:tr>
      <w:tr w:rsidR="00B720DD" w:rsidRPr="00A126D4" w14:paraId="480D5526" w14:textId="77777777" w:rsidTr="00C35897">
        <w:trPr>
          <w:trHeight w:val="232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7673804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      </w:r>
          </w:p>
        </w:tc>
      </w:tr>
      <w:tr w:rsidR="00B720DD" w:rsidRPr="00A126D4" w14:paraId="066C4B3D" w14:textId="77777777" w:rsidTr="00C35897">
        <w:trPr>
          <w:trHeight w:val="232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42886A8C" w14:textId="77777777" w:rsidR="00B720DD" w:rsidRPr="00A126D4" w:rsidRDefault="00B720DD" w:rsidP="00C35897">
            <w:pPr>
              <w:pStyle w:val="ConsPlusNormal"/>
              <w:tabs>
                <w:tab w:val="left" w:pos="196"/>
              </w:tabs>
              <w:ind w:left="-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1. Техническое оснащение ЕДДС в соответствии с ГОСТ Р 22.7.01-2021;</w:t>
            </w:r>
          </w:p>
        </w:tc>
      </w:tr>
      <w:tr w:rsidR="00B720DD" w:rsidRPr="00A126D4" w14:paraId="7276D7E8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038F167D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тренировок личного состава ЕДДС, единиц</w:t>
            </w:r>
          </w:p>
          <w:p w14:paraId="235E7D26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D612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7686460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комплексных тренировок по чрезвычайным ситуациям личного состава ЕДДС за отчетный период</w:t>
            </w:r>
          </w:p>
        </w:tc>
        <w:tc>
          <w:tcPr>
            <w:tcW w:w="2958" w:type="dxa"/>
            <w:shd w:val="clear" w:color="auto" w:fill="auto"/>
          </w:tcPr>
          <w:p w14:paraId="7ADFB02E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Ведомость проведения тренировок ЕДДС</w:t>
            </w:r>
          </w:p>
        </w:tc>
      </w:tr>
      <w:tr w:rsidR="00B720DD" w:rsidRPr="00A126D4" w14:paraId="17EBE62D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5445E195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и поддержания в высокой готовности сил и средств гражданской обороны.</w:t>
            </w:r>
          </w:p>
        </w:tc>
      </w:tr>
      <w:tr w:rsidR="00B720DD" w:rsidRPr="00A126D4" w14:paraId="0643138E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4FEA060B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изданных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буклетов, листовок по предупреждению ЧС на территории округа, единиц</w:t>
            </w:r>
          </w:p>
        </w:tc>
        <w:tc>
          <w:tcPr>
            <w:tcW w:w="3685" w:type="dxa"/>
            <w:shd w:val="clear" w:color="auto" w:fill="auto"/>
          </w:tcPr>
          <w:p w14:paraId="5FF6A897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A126D4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изданных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буклетов, листовок по предупреждению ЧС на территории округа за отчетный период</w:t>
            </w:r>
          </w:p>
        </w:tc>
        <w:tc>
          <w:tcPr>
            <w:tcW w:w="2958" w:type="dxa"/>
            <w:shd w:val="clear" w:color="auto" w:fill="auto"/>
          </w:tcPr>
          <w:p w14:paraId="14AE857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Ведомость информационных материалов, счета-фактуры, договоры на поставку товаров</w:t>
            </w:r>
          </w:p>
        </w:tc>
      </w:tr>
      <w:tr w:rsidR="00B720DD" w:rsidRPr="00A126D4" w14:paraId="1E6E7095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5651E296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Противодействие идеологии экстремизма, предупреждение терроризма</w:t>
            </w:r>
          </w:p>
        </w:tc>
      </w:tr>
      <w:tr w:rsidR="00B720DD" w:rsidRPr="00A126D4" w14:paraId="28A95755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0DE1C0AD" w14:textId="77777777" w:rsidR="00B720DD" w:rsidRPr="00A126D4" w:rsidRDefault="00B720DD" w:rsidP="00C35897">
            <w:pPr>
              <w:pStyle w:val="a5"/>
              <w:tabs>
                <w:tab w:val="left" w:pos="262"/>
              </w:tabs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 xml:space="preserve">Задача </w:t>
            </w:r>
            <w:proofErr w:type="gramStart"/>
            <w:r w:rsidRPr="00A126D4">
              <w:rPr>
                <w:sz w:val="24"/>
                <w:szCs w:val="24"/>
              </w:rPr>
              <w:t>1.Профилактика</w:t>
            </w:r>
            <w:proofErr w:type="gramEnd"/>
            <w:r w:rsidRPr="00A126D4">
              <w:rPr>
                <w:sz w:val="24"/>
                <w:szCs w:val="24"/>
              </w:rPr>
              <w:t xml:space="preserve"> терроризма и экстремизма</w:t>
            </w:r>
          </w:p>
        </w:tc>
      </w:tr>
      <w:tr w:rsidR="00B720DD" w:rsidRPr="00A126D4" w14:paraId="58D8632E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03883159" w14:textId="77777777" w:rsidR="00B720DD" w:rsidRPr="00A126D4" w:rsidRDefault="00B720DD" w:rsidP="00C35897">
            <w:pPr>
              <w:pStyle w:val="a5"/>
              <w:tabs>
                <w:tab w:val="left" w:pos="262"/>
              </w:tabs>
              <w:suppressAutoHyphens/>
              <w:ind w:left="3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Количество стендов наглядной агитации, памяток, печатной продукции</w:t>
            </w:r>
            <w:r>
              <w:rPr>
                <w:sz w:val="24"/>
                <w:szCs w:val="24"/>
              </w:rPr>
              <w:t xml:space="preserve"> по вопросам п</w:t>
            </w:r>
            <w:r w:rsidRPr="00610FE2">
              <w:rPr>
                <w:sz w:val="24"/>
                <w:szCs w:val="24"/>
              </w:rPr>
              <w:t>ротиводействи</w:t>
            </w:r>
            <w:r>
              <w:rPr>
                <w:sz w:val="24"/>
                <w:szCs w:val="24"/>
              </w:rPr>
              <w:t>я</w:t>
            </w:r>
            <w:r w:rsidRPr="00610FE2">
              <w:rPr>
                <w:sz w:val="24"/>
                <w:szCs w:val="24"/>
              </w:rPr>
              <w:t xml:space="preserve"> идеологии экстремизма, предупреждение терроризма</w:t>
            </w:r>
            <w:r w:rsidRPr="00A126D4">
              <w:rPr>
                <w:sz w:val="24"/>
                <w:szCs w:val="24"/>
              </w:rPr>
              <w:t>, единиц</w:t>
            </w:r>
          </w:p>
        </w:tc>
        <w:tc>
          <w:tcPr>
            <w:tcW w:w="3685" w:type="dxa"/>
            <w:shd w:val="clear" w:color="auto" w:fill="auto"/>
          </w:tcPr>
          <w:p w14:paraId="1AD9D22A" w14:textId="77777777" w:rsidR="00B720DD" w:rsidRPr="00A126D4" w:rsidRDefault="00B720DD" w:rsidP="00C35897">
            <w:p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распространенных памяток, печатной продукции, установленных стендов по противодействию идеологии экстремизма,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предупреждению  терроризма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958" w:type="dxa"/>
            <w:shd w:val="clear" w:color="auto" w:fill="auto"/>
          </w:tcPr>
          <w:p w14:paraId="31605CE4" w14:textId="77777777" w:rsidR="00B720DD" w:rsidRPr="00A126D4" w:rsidRDefault="00B720DD" w:rsidP="00C35897">
            <w:p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Журнал распространения памяток, установки стендов</w:t>
            </w:r>
          </w:p>
        </w:tc>
      </w:tr>
      <w:tr w:rsidR="00B720DD" w:rsidRPr="00A126D4" w14:paraId="4005CDD1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0061B913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Пожарная безопасность</w:t>
            </w:r>
          </w:p>
        </w:tc>
      </w:tr>
      <w:tr w:rsidR="00B720DD" w:rsidRPr="00A126D4" w14:paraId="0825B746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39B5A272" w14:textId="77777777" w:rsidR="00B720DD" w:rsidRPr="00A126D4" w:rsidRDefault="00B720DD" w:rsidP="00B720DD">
            <w:pPr>
              <w:pStyle w:val="a5"/>
              <w:numPr>
                <w:ilvl w:val="0"/>
                <w:numId w:val="13"/>
              </w:numPr>
              <w:tabs>
                <w:tab w:val="left" w:pos="2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Ремонт пожарных водоемов, пирсов и гидрантов</w:t>
            </w:r>
          </w:p>
        </w:tc>
      </w:tr>
      <w:tr w:rsidR="00B720DD" w:rsidRPr="00A126D4" w14:paraId="24FCDB35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29F4B353" w14:textId="77777777" w:rsidR="00B720DD" w:rsidRPr="00A126D4" w:rsidRDefault="00B720DD" w:rsidP="00C35897">
            <w:p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пожарных водоемов Няндомского муниципального округа, %</w:t>
            </w:r>
          </w:p>
        </w:tc>
        <w:tc>
          <w:tcPr>
            <w:tcW w:w="3685" w:type="dxa"/>
            <w:shd w:val="clear" w:color="auto" w:fill="auto"/>
          </w:tcPr>
          <w:p w14:paraId="2B904827" w14:textId="77777777" w:rsidR="00B720DD" w:rsidRPr="00A126D4" w:rsidRDefault="00B720DD" w:rsidP="00C35897">
            <w:p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пожарных водоемов за отчетный период/ общее количество пожарных водоемов по состоянию на конец отчетного периода х100%</w:t>
            </w:r>
          </w:p>
        </w:tc>
        <w:tc>
          <w:tcPr>
            <w:tcW w:w="2958" w:type="dxa"/>
            <w:shd w:val="clear" w:color="auto" w:fill="auto"/>
          </w:tcPr>
          <w:p w14:paraId="592CC134" w14:textId="77777777" w:rsidR="00B720DD" w:rsidRPr="00A126D4" w:rsidRDefault="00B720DD" w:rsidP="00C35897">
            <w:p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Перечень пожарных водоемов, акты приемки выполненных работ, контракты, договоры</w:t>
            </w:r>
          </w:p>
        </w:tc>
      </w:tr>
      <w:tr w:rsidR="00B720DD" w:rsidRPr="00A126D4" w14:paraId="22595A87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137248A3" w14:textId="77777777" w:rsidR="00B720DD" w:rsidRPr="00A126D4" w:rsidRDefault="00B720DD" w:rsidP="00B720DD">
            <w:pPr>
              <w:pStyle w:val="a5"/>
              <w:numPr>
                <w:ilvl w:val="0"/>
                <w:numId w:val="13"/>
              </w:numPr>
              <w:tabs>
                <w:tab w:val="left" w:pos="217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lastRenderedPageBreak/>
              <w:t>Улучшение материально-технической базы ДПО</w:t>
            </w:r>
          </w:p>
        </w:tc>
      </w:tr>
      <w:tr w:rsidR="00B720DD" w:rsidRPr="00A126D4" w14:paraId="47A0182C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58F2A131" w14:textId="77777777" w:rsidR="00B720DD" w:rsidRPr="00A126D4" w:rsidRDefault="00B720DD" w:rsidP="00C35897">
            <w:p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материально-технической базы ДПО, %</w:t>
            </w:r>
          </w:p>
        </w:tc>
        <w:tc>
          <w:tcPr>
            <w:tcW w:w="3685" w:type="dxa"/>
            <w:shd w:val="clear" w:color="auto" w:fill="auto"/>
          </w:tcPr>
          <w:p w14:paraId="6F1EBED2" w14:textId="77777777" w:rsidR="00B720DD" w:rsidRPr="00A126D4" w:rsidRDefault="00B720DD" w:rsidP="00C35897">
            <w:p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имеющихся материалов и технических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средств  ДПО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периода/ нормативное количество материалов и технических средств  ДПО</w:t>
            </w:r>
          </w:p>
        </w:tc>
        <w:tc>
          <w:tcPr>
            <w:tcW w:w="2958" w:type="dxa"/>
            <w:shd w:val="clear" w:color="auto" w:fill="auto"/>
          </w:tcPr>
          <w:p w14:paraId="098B7F52" w14:textId="77777777" w:rsidR="00B720DD" w:rsidRPr="00A126D4" w:rsidRDefault="00B720DD" w:rsidP="00C35897">
            <w:p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Ведомость имущества ДПО, акты инвентаризации, контракты, договоры на поставку товаров, счета-фактуры</w:t>
            </w:r>
          </w:p>
        </w:tc>
      </w:tr>
      <w:tr w:rsidR="00B720DD" w:rsidRPr="00A126D4" w14:paraId="2B676A13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63CC3057" w14:textId="77777777" w:rsidR="00B720DD" w:rsidRPr="00A126D4" w:rsidRDefault="00B720DD" w:rsidP="00B720DD">
            <w:pPr>
              <w:pStyle w:val="a5"/>
              <w:numPr>
                <w:ilvl w:val="0"/>
                <w:numId w:val="13"/>
              </w:num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Профилактическая работа по предупреждению пожаров</w:t>
            </w:r>
          </w:p>
        </w:tc>
      </w:tr>
      <w:tr w:rsidR="00B720DD" w:rsidRPr="00A126D4" w14:paraId="7F6ADB5C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395D2708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Охват населения проведенным информированием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пожарной безопасности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85" w:type="dxa"/>
            <w:shd w:val="clear" w:color="auto" w:fill="auto"/>
          </w:tcPr>
          <w:p w14:paraId="45AF265D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проинформированного населения по вопросам пожарной безопасности за отчетный период / </w:t>
            </w:r>
            <w:proofErr w:type="gramStart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</w:t>
            </w:r>
            <w:proofErr w:type="gramEnd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округа  на конец отчетного периода х100%</w:t>
            </w:r>
          </w:p>
        </w:tc>
        <w:tc>
          <w:tcPr>
            <w:tcW w:w="2958" w:type="dxa"/>
            <w:shd w:val="clear" w:color="auto" w:fill="auto"/>
          </w:tcPr>
          <w:p w14:paraId="6B5F8A0F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Памятки по информированию населения,</w:t>
            </w:r>
          </w:p>
          <w:p w14:paraId="4B405E34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населения Управления Федеральной службы государственной статистики по Архангельской области и Ненецкому автономному округу</w:t>
            </w:r>
          </w:p>
        </w:tc>
      </w:tr>
      <w:tr w:rsidR="00B720DD" w:rsidRPr="00A126D4" w14:paraId="41EE9C6D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416E5CE5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Безопасность людей на водных объектах</w:t>
            </w:r>
          </w:p>
        </w:tc>
      </w:tr>
      <w:tr w:rsidR="00B720DD" w:rsidRPr="00A126D4" w14:paraId="1A6FD249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79F3D643" w14:textId="77777777" w:rsidR="00B720DD" w:rsidRPr="00A126D4" w:rsidRDefault="00B720DD" w:rsidP="00B720DD">
            <w:pPr>
              <w:pStyle w:val="a5"/>
              <w:numPr>
                <w:ilvl w:val="0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Подготовка мест массового пребывания людей на водных объектах с целью обеспечения их безопасности, охраны жизни и здоровья</w:t>
            </w:r>
          </w:p>
        </w:tc>
      </w:tr>
      <w:tr w:rsidR="00B720DD" w:rsidRPr="00A126D4" w14:paraId="6F20A36C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4EE2FD6E" w14:textId="77777777" w:rsidR="00B720DD" w:rsidRPr="00A126D4" w:rsidRDefault="00B720DD" w:rsidP="00C35897">
            <w:p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Обустройство пляжей, %</w:t>
            </w:r>
          </w:p>
        </w:tc>
        <w:tc>
          <w:tcPr>
            <w:tcW w:w="3685" w:type="dxa"/>
            <w:shd w:val="clear" w:color="auto" w:fill="auto"/>
          </w:tcPr>
          <w:p w14:paraId="752146AA" w14:textId="77777777" w:rsidR="00B720DD" w:rsidRPr="00A126D4" w:rsidRDefault="00B720DD" w:rsidP="00C35897">
            <w:p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пляжей на территории Няндомского муниципального округа на конец отчетного периода / общее количество пляжей х100%</w:t>
            </w:r>
          </w:p>
        </w:tc>
        <w:tc>
          <w:tcPr>
            <w:tcW w:w="2958" w:type="dxa"/>
            <w:shd w:val="clear" w:color="auto" w:fill="auto"/>
          </w:tcPr>
          <w:p w14:paraId="18A0E291" w14:textId="77777777" w:rsidR="00B720DD" w:rsidRPr="00A126D4" w:rsidRDefault="00B720DD" w:rsidP="00C35897">
            <w:p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План безопасности людей на водных объектах, отчет по МП</w:t>
            </w:r>
          </w:p>
        </w:tc>
      </w:tr>
      <w:tr w:rsidR="00B720DD" w:rsidRPr="00A126D4" w14:paraId="3F1BCED9" w14:textId="77777777" w:rsidTr="00C35897">
        <w:trPr>
          <w:trHeight w:val="85"/>
          <w:jc w:val="center"/>
        </w:trPr>
        <w:tc>
          <w:tcPr>
            <w:tcW w:w="10171" w:type="dxa"/>
            <w:gridSpan w:val="3"/>
            <w:shd w:val="clear" w:color="auto" w:fill="auto"/>
          </w:tcPr>
          <w:p w14:paraId="522A62C4" w14:textId="77777777" w:rsidR="00B720DD" w:rsidRPr="00A126D4" w:rsidRDefault="00B720DD" w:rsidP="00B720DD">
            <w:pPr>
              <w:pStyle w:val="a5"/>
              <w:numPr>
                <w:ilvl w:val="0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30" w:firstLine="0"/>
              <w:rPr>
                <w:sz w:val="24"/>
                <w:szCs w:val="24"/>
              </w:rPr>
            </w:pPr>
            <w:r w:rsidRPr="00A126D4">
              <w:rPr>
                <w:sz w:val="24"/>
                <w:szCs w:val="24"/>
              </w:rPr>
              <w:t>Распространение наглядной агитации для населения</w:t>
            </w:r>
          </w:p>
        </w:tc>
      </w:tr>
      <w:tr w:rsidR="00B720DD" w:rsidRPr="00E34BBF" w14:paraId="53A5EB03" w14:textId="77777777" w:rsidTr="00C35897">
        <w:trPr>
          <w:trHeight w:val="85"/>
          <w:jc w:val="center"/>
        </w:trPr>
        <w:tc>
          <w:tcPr>
            <w:tcW w:w="3528" w:type="dxa"/>
            <w:shd w:val="clear" w:color="auto" w:fill="auto"/>
          </w:tcPr>
          <w:p w14:paraId="28DB25E9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изданных информационных буклетов, листовок, опубликованных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безопасности на воде, единиц</w:t>
            </w:r>
          </w:p>
        </w:tc>
        <w:tc>
          <w:tcPr>
            <w:tcW w:w="3685" w:type="dxa"/>
            <w:shd w:val="clear" w:color="auto" w:fill="auto"/>
          </w:tcPr>
          <w:p w14:paraId="7A4A35A1" w14:textId="77777777" w:rsidR="00B720DD" w:rsidRPr="00A126D4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Общее количество изданных информационных буклетов, листовок, опубликованных материалов по безопасности на воде за отчетный период</w:t>
            </w:r>
          </w:p>
        </w:tc>
        <w:tc>
          <w:tcPr>
            <w:tcW w:w="2958" w:type="dxa"/>
            <w:shd w:val="clear" w:color="auto" w:fill="auto"/>
          </w:tcPr>
          <w:p w14:paraId="0BF86777" w14:textId="77777777" w:rsidR="00B720DD" w:rsidRPr="00E34BBF" w:rsidRDefault="00B720DD" w:rsidP="00C35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План безопасности людей на водных объектах, отчет по МП, счета-фактуры, договоры на поставку товаров</w:t>
            </w:r>
          </w:p>
        </w:tc>
      </w:tr>
    </w:tbl>
    <w:p w14:paraId="1F35C76E" w14:textId="77777777" w:rsidR="00B720DD" w:rsidRPr="00E34BBF" w:rsidRDefault="00B720DD" w:rsidP="00B720DD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D308BAB" w14:textId="77777777" w:rsidR="00B720DD" w:rsidRPr="00E34BBF" w:rsidRDefault="00B720DD" w:rsidP="00B72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6B0E9C" w14:textId="77777777" w:rsidR="00B720DD" w:rsidRPr="00E34BBF" w:rsidRDefault="00B720DD" w:rsidP="00B72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4E4BB9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551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E528" w14:textId="77777777" w:rsidR="00442D96" w:rsidRDefault="00442D96" w:rsidP="00D729AA">
      <w:pPr>
        <w:spacing w:line="240" w:lineRule="auto"/>
      </w:pPr>
      <w:r>
        <w:separator/>
      </w:r>
    </w:p>
  </w:endnote>
  <w:endnote w:type="continuationSeparator" w:id="0">
    <w:p w14:paraId="5634E363" w14:textId="77777777" w:rsidR="00442D96" w:rsidRDefault="00442D9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673D" w14:textId="56EA34D7" w:rsidR="00B720DD" w:rsidRDefault="00B720DD" w:rsidP="00B720DD">
    <w:pPr>
      <w:pStyle w:val="a9"/>
      <w:tabs>
        <w:tab w:val="clear" w:pos="4677"/>
        <w:tab w:val="clear" w:pos="9355"/>
        <w:tab w:val="left" w:pos="820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553B" w14:textId="77777777" w:rsidR="00442D96" w:rsidRDefault="00442D96" w:rsidP="00D729AA">
      <w:pPr>
        <w:spacing w:line="240" w:lineRule="auto"/>
      </w:pPr>
      <w:r>
        <w:separator/>
      </w:r>
    </w:p>
  </w:footnote>
  <w:footnote w:type="continuationSeparator" w:id="0">
    <w:p w14:paraId="6D03C1A7" w14:textId="77777777" w:rsidR="00442D96" w:rsidRDefault="00442D9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15DB5FE5" w14:textId="77777777" w:rsidR="00D729AA" w:rsidRDefault="00AF1905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D919F3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1BFAA411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6771B727" w14:textId="77777777" w:rsidTr="00C51104">
      <w:tc>
        <w:tcPr>
          <w:tcW w:w="9354" w:type="dxa"/>
        </w:tcPr>
        <w:p w14:paraId="158615B3" w14:textId="77777777"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8AFE64C" wp14:editId="0F22DBC9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FB36CA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5603B339" w14:textId="77777777" w:rsidTr="00C51104">
      <w:tc>
        <w:tcPr>
          <w:tcW w:w="9354" w:type="dxa"/>
        </w:tcPr>
        <w:p w14:paraId="108C2FDC" w14:textId="5C419496" w:rsidR="00D729AA" w:rsidRPr="00680A52" w:rsidRDefault="00C51104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D14B27B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6707D4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E10154A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A0D946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707FE383" w14:textId="77777777" w:rsidTr="00C51104">
      <w:tc>
        <w:tcPr>
          <w:tcW w:w="9354" w:type="dxa"/>
        </w:tcPr>
        <w:p w14:paraId="66FF7031" w14:textId="1D167C6D" w:rsidR="00D729AA" w:rsidRPr="0037724A" w:rsidRDefault="009F1B16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 w:rsidRPr="009F1B16"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60F21FB" w14:textId="77777777" w:rsidTr="00C51104">
      <w:tc>
        <w:tcPr>
          <w:tcW w:w="9354" w:type="dxa"/>
        </w:tcPr>
        <w:p w14:paraId="7547FF04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702D393" w14:textId="77777777" w:rsidTr="00C51104">
      <w:tc>
        <w:tcPr>
          <w:tcW w:w="9354" w:type="dxa"/>
        </w:tcPr>
        <w:p w14:paraId="6D9778D1" w14:textId="4F705E87" w:rsidR="00D729AA" w:rsidRPr="00C7038B" w:rsidRDefault="00DF392A" w:rsidP="006707D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720DD"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B720DD">
            <w:rPr>
              <w:rFonts w:ascii="Times New Roman" w:hAnsi="Times New Roman" w:cs="Times New Roman"/>
              <w:sz w:val="28"/>
              <w:szCs w:val="28"/>
            </w:rPr>
            <w:t xml:space="preserve"> января</w:t>
          </w:r>
          <w:r w:rsidR="00DE0ABC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F1B16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B720DD">
            <w:rPr>
              <w:rFonts w:ascii="Times New Roman" w:hAnsi="Times New Roman" w:cs="Times New Roman"/>
              <w:sz w:val="28"/>
              <w:szCs w:val="28"/>
            </w:rPr>
            <w:t>51</w:t>
          </w:r>
          <w:r w:rsidR="009F1B16" w:rsidRPr="00A126D4">
            <w:rPr>
              <w:rFonts w:ascii="Times New Roman" w:hAnsi="Times New Roman" w:cs="Times New Roman"/>
              <w:sz w:val="28"/>
              <w:szCs w:val="28"/>
            </w:rPr>
            <w:t xml:space="preserve"> -па</w:t>
          </w:r>
          <w:r w:rsidR="009F1B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14:paraId="08D2FC70" w14:textId="77777777" w:rsidTr="00C51104">
      <w:tc>
        <w:tcPr>
          <w:tcW w:w="9354" w:type="dxa"/>
        </w:tcPr>
        <w:p w14:paraId="727B8CBC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E09E0B9" w14:textId="77777777" w:rsidTr="00C51104">
      <w:tc>
        <w:tcPr>
          <w:tcW w:w="9354" w:type="dxa"/>
        </w:tcPr>
        <w:p w14:paraId="212B1D25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687AED31" w14:textId="77777777" w:rsidTr="00C51104">
      <w:tc>
        <w:tcPr>
          <w:tcW w:w="9354" w:type="dxa"/>
        </w:tcPr>
        <w:p w14:paraId="2BFEC93D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42D1F99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8531"/>
      <w:docPartObj>
        <w:docPartGallery w:val="Page Numbers (Top of Page)"/>
        <w:docPartUnique/>
      </w:docPartObj>
    </w:sdtPr>
    <w:sdtContent>
      <w:p w14:paraId="781C81A9" w14:textId="77777777" w:rsidR="00B720DD" w:rsidRDefault="00B720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636754"/>
      <w:docPartObj>
        <w:docPartGallery w:val="Page Numbers (Top of Page)"/>
        <w:docPartUnique/>
      </w:docPartObj>
    </w:sdtPr>
    <w:sdtContent>
      <w:p w14:paraId="40AFB2F3" w14:textId="77777777" w:rsidR="00B720DD" w:rsidRDefault="00B720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0F503" w14:textId="77777777" w:rsidR="00B720DD" w:rsidRDefault="00B720D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342696"/>
      <w:docPartObj>
        <w:docPartGallery w:val="Page Numbers (Top of Page)"/>
        <w:docPartUnique/>
      </w:docPartObj>
    </w:sdtPr>
    <w:sdtContent>
      <w:p w14:paraId="54FBB65E" w14:textId="77777777" w:rsidR="00B720DD" w:rsidRDefault="00B720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9024D7" w14:textId="77777777" w:rsidR="00B720DD" w:rsidRDefault="00B720DD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480"/>
      <w:docPartObj>
        <w:docPartGallery w:val="Page Numbers (Top of Page)"/>
        <w:docPartUnique/>
      </w:docPartObj>
    </w:sdtPr>
    <w:sdtContent>
      <w:p w14:paraId="32EA7A2C" w14:textId="77777777" w:rsidR="00B720DD" w:rsidRDefault="00B720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8533"/>
      <w:docPartObj>
        <w:docPartGallery w:val="Page Numbers (Top of Page)"/>
        <w:docPartUnique/>
      </w:docPartObj>
    </w:sdtPr>
    <w:sdtContent>
      <w:p w14:paraId="6E511CCA" w14:textId="77777777" w:rsidR="00B720DD" w:rsidRDefault="00B720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471155"/>
      <w:docPartObj>
        <w:docPartGallery w:val="Page Numbers (Top of Page)"/>
        <w:docPartUnique/>
      </w:docPartObj>
    </w:sdtPr>
    <w:sdtContent>
      <w:p w14:paraId="486BE523" w14:textId="77777777" w:rsidR="00B720DD" w:rsidRDefault="00B720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424B93" w14:textId="77777777" w:rsidR="00B720DD" w:rsidRDefault="00B720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93A"/>
    <w:multiLevelType w:val="multilevel"/>
    <w:tmpl w:val="F3AA541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FBE67CC"/>
    <w:multiLevelType w:val="hybridMultilevel"/>
    <w:tmpl w:val="24C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B23"/>
    <w:multiLevelType w:val="hybridMultilevel"/>
    <w:tmpl w:val="8146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3D45"/>
    <w:multiLevelType w:val="hybridMultilevel"/>
    <w:tmpl w:val="16CA82F4"/>
    <w:lvl w:ilvl="0" w:tplc="6424450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4B57"/>
    <w:multiLevelType w:val="hybridMultilevel"/>
    <w:tmpl w:val="5F9691C0"/>
    <w:lvl w:ilvl="0" w:tplc="52C602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8184281"/>
    <w:multiLevelType w:val="hybridMultilevel"/>
    <w:tmpl w:val="3200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76EC"/>
    <w:multiLevelType w:val="hybridMultilevel"/>
    <w:tmpl w:val="E9E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731C"/>
    <w:multiLevelType w:val="multilevel"/>
    <w:tmpl w:val="F39AF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B71783"/>
    <w:multiLevelType w:val="hybridMultilevel"/>
    <w:tmpl w:val="75FCCCDA"/>
    <w:lvl w:ilvl="0" w:tplc="17DE29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5B5D13"/>
    <w:multiLevelType w:val="hybridMultilevel"/>
    <w:tmpl w:val="8E165E7E"/>
    <w:lvl w:ilvl="0" w:tplc="04F6CF7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B673FC"/>
    <w:multiLevelType w:val="hybridMultilevel"/>
    <w:tmpl w:val="1AA45A10"/>
    <w:lvl w:ilvl="0" w:tplc="065C6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5243"/>
    <w:multiLevelType w:val="hybridMultilevel"/>
    <w:tmpl w:val="33EC2DB2"/>
    <w:lvl w:ilvl="0" w:tplc="6B46E4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71DE6"/>
    <w:multiLevelType w:val="hybridMultilevel"/>
    <w:tmpl w:val="A23A0AA8"/>
    <w:lvl w:ilvl="0" w:tplc="8858F8A6">
      <w:start w:val="1"/>
      <w:numFmt w:val="bullet"/>
      <w:suff w:val="space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E6A1E"/>
    <w:multiLevelType w:val="hybridMultilevel"/>
    <w:tmpl w:val="7FE04DAC"/>
    <w:lvl w:ilvl="0" w:tplc="F9ACBC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365113"/>
    <w:multiLevelType w:val="hybridMultilevel"/>
    <w:tmpl w:val="5CD0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D263D"/>
    <w:rsid w:val="000E6799"/>
    <w:rsid w:val="000F0D60"/>
    <w:rsid w:val="00101B24"/>
    <w:rsid w:val="00112896"/>
    <w:rsid w:val="00113509"/>
    <w:rsid w:val="0014019B"/>
    <w:rsid w:val="00191EB4"/>
    <w:rsid w:val="001C5F5D"/>
    <w:rsid w:val="001D56FE"/>
    <w:rsid w:val="001E7CEC"/>
    <w:rsid w:val="002220DB"/>
    <w:rsid w:val="00237E50"/>
    <w:rsid w:val="00281C02"/>
    <w:rsid w:val="00297D07"/>
    <w:rsid w:val="002A206C"/>
    <w:rsid w:val="002C04D4"/>
    <w:rsid w:val="002F09D7"/>
    <w:rsid w:val="00320BE6"/>
    <w:rsid w:val="00334A54"/>
    <w:rsid w:val="0037724A"/>
    <w:rsid w:val="00381162"/>
    <w:rsid w:val="003E1135"/>
    <w:rsid w:val="003F12A5"/>
    <w:rsid w:val="004169C1"/>
    <w:rsid w:val="004258E5"/>
    <w:rsid w:val="00442D96"/>
    <w:rsid w:val="004F4953"/>
    <w:rsid w:val="00533983"/>
    <w:rsid w:val="0056739B"/>
    <w:rsid w:val="005750EE"/>
    <w:rsid w:val="005915A0"/>
    <w:rsid w:val="0060529A"/>
    <w:rsid w:val="00650122"/>
    <w:rsid w:val="0066115D"/>
    <w:rsid w:val="006707D4"/>
    <w:rsid w:val="00680A52"/>
    <w:rsid w:val="006A3160"/>
    <w:rsid w:val="006E0AE6"/>
    <w:rsid w:val="00713EC8"/>
    <w:rsid w:val="0073582A"/>
    <w:rsid w:val="007D6DCE"/>
    <w:rsid w:val="008369BE"/>
    <w:rsid w:val="008A35F9"/>
    <w:rsid w:val="008E1706"/>
    <w:rsid w:val="009614F6"/>
    <w:rsid w:val="00965615"/>
    <w:rsid w:val="009F1B16"/>
    <w:rsid w:val="00A27287"/>
    <w:rsid w:val="00A70CCC"/>
    <w:rsid w:val="00A750D7"/>
    <w:rsid w:val="00AF1905"/>
    <w:rsid w:val="00B508BF"/>
    <w:rsid w:val="00B720DD"/>
    <w:rsid w:val="00B7377B"/>
    <w:rsid w:val="00BB1C3D"/>
    <w:rsid w:val="00BD6817"/>
    <w:rsid w:val="00BF38A8"/>
    <w:rsid w:val="00BF5C38"/>
    <w:rsid w:val="00C35491"/>
    <w:rsid w:val="00C51104"/>
    <w:rsid w:val="00C7038B"/>
    <w:rsid w:val="00CA6DD5"/>
    <w:rsid w:val="00CD3FA3"/>
    <w:rsid w:val="00CE1784"/>
    <w:rsid w:val="00CF3765"/>
    <w:rsid w:val="00D26A13"/>
    <w:rsid w:val="00D65195"/>
    <w:rsid w:val="00D729AA"/>
    <w:rsid w:val="00D75E4B"/>
    <w:rsid w:val="00D919F3"/>
    <w:rsid w:val="00DA7D61"/>
    <w:rsid w:val="00DE0ABC"/>
    <w:rsid w:val="00DF392A"/>
    <w:rsid w:val="00EF2169"/>
    <w:rsid w:val="00F10CE9"/>
    <w:rsid w:val="00F6295E"/>
    <w:rsid w:val="00F74478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3D33"/>
  <w15:docId w15:val="{0A4102DE-1F9A-43B7-B03F-DE1CA74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B720DD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0DD"/>
    <w:pPr>
      <w:keepNext/>
      <w:keepLines/>
      <w:suppressAutoHyphen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F1B16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720D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0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B720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720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link w:val="ad"/>
    <w:uiPriority w:val="99"/>
    <w:rsid w:val="00B720D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720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ормальный (таблица) Знак"/>
    <w:link w:val="ac"/>
    <w:uiPriority w:val="99"/>
    <w:rsid w:val="00B720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720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B720DD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B720D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B720DD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B720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4A789-A5A1-4618-A083-D55364D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2023-01-10T07:26:00Z</cp:lastPrinted>
  <dcterms:created xsi:type="dcterms:W3CDTF">2023-03-29T12:59:00Z</dcterms:created>
  <dcterms:modified xsi:type="dcterms:W3CDTF">2023-03-29T12:59:00Z</dcterms:modified>
</cp:coreProperties>
</file>